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PAYCHECK BUDGET</w:t>
      </w:r>
    </w:p>
    <w:p>
      <w:pPr>
        <w:spacing w:after="160"/>
      </w:pPr>
      <w:r>
        <w:rPr>
          <w:color w:val="64748B"/>
          <w:sz w:val="17"/>
        </w:rPr>
        <w:t>One page per check: give every dollar a job before payday, then aim Left to Allocate at $0.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Pay date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Net pay (take-home)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Where it goes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  <w:tc>
          <w:tcPr>
            <w:tcW w:type="dxa" w:w="374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Notes</w:t>
            </w:r>
          </w:p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FIXED BILLS (this check's share)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Rent / mortgage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Utilities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Insurance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Phone &amp; internet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Minimum debt payments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SINKING FUNDS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Car repairs fund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Holidays &amp; gifts fund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Annual bills fund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SPENDING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Groceries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Fuel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Fun money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Everything else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EXTRA DEBT / SAVINGS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Extra debt payment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17" w:hRule="atLeast"/>
        </w:trPr>
        <w:tc>
          <w:tcPr>
            <w:tcW w:type="dxa" w:w="48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Savings &amp; investing</w:t>
            </w:r>
          </w:p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74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allocated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LEFT TO ALLOCATE (aim for $0)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Paid twice a month or every two weeks? Two of these pages cover a normal month — a three-paycheck month is your bonus check for goals. Pair with the bill calendar in the Excel version to split bills between checks.</w:t>
      </w:r>
    </w:p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