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CHURCH BUDGET</w:t>
      </w:r>
    </w:p>
    <w:p>
      <w:pPr>
        <w:spacing w:after="160"/>
      </w:pPr>
      <w:r>
        <w:rPr>
          <w:color w:val="64748B"/>
          <w:sz w:val="17"/>
        </w:rPr>
        <w:t>Tithes and offerings in, ministries funded — with designated gifts kept to their designation.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Church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INCOME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Tithes &amp; offerings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Designated gifts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Facility use &amp; other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Income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MINISTRIES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Worship &amp; music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Missions &amp; outreach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Youth &amp; children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Adult education &amp; groups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Benevolence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Ministries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OPERATIONS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Staff &amp; payroll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Facilities &amp; utilities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 &amp; admin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Technology &amp; media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Operations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expenses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MARGIN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