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GRANT PROPOSAL BUDGET</w:t>
      </w:r>
    </w:p>
    <w:p>
      <w:pPr>
        <w:spacing w:after="160"/>
      </w:pPr>
      <w:r>
        <w:rPr>
          <w:color w:val="64748B"/>
          <w:sz w:val="17"/>
        </w:rPr>
        <w:t>Every line split between the funder request and your match; indirect applies to the directs.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Organization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Funder / program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Indirect rate %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34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Line item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Requested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Match / other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Total</w:t>
            </w:r>
          </w:p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Direct costs</w:t>
            </w:r>
          </w:p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Indirect costs</w:t>
            </w:r>
          </w:p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TOTAL PROJECT BUDGET</w:t>
            </w:r>
          </w:p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Categories: Personnel · Fringe benefits · Travel · Equipment · Supplies · Contractual · Other direct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