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GROCERY BUDGET</w:t>
      </w:r>
    </w:p>
    <w:p>
      <w:pPr>
        <w:spacing w:after="160"/>
      </w:pPr>
      <w:r>
        <w:rPr>
          <w:color w:val="64748B"/>
          <w:sz w:val="17"/>
        </w:rPr>
        <w:t>One weekly number, every trip logged — including the midweek top-up, which is where budgets die.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Household size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Weekly budget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Week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Budget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Trip 1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Trip 2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Trip 3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Spent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Left</w:t>
            </w:r>
          </w:p>
        </w:tc>
      </w:tr>
      <w:tr>
        <w:trPr>
          <w:trHeight w:val="604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Week 1</w:t>
            </w:r>
          </w:p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Week 2</w:t>
            </w:r>
          </w:p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Week 3</w:t>
            </w:r>
          </w:p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Week 4</w:t>
            </w:r>
          </w:p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Week 5</w:t>
            </w:r>
          </w:p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Month</w:t>
            </w:r>
          </w:p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Meal-plan before the big trip, shop the list, and write the total in the car before you forget.</w:t>
      </w:r>
    </w:p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