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MARKETING BUDGET</w:t>
      </w:r>
    </w:p>
    <w:p>
      <w:pPr>
        <w:spacing w:after="160"/>
      </w:pPr>
      <w:r>
        <w:rPr>
          <w:color w:val="64748B"/>
          <w:sz w:val="17"/>
        </w:rPr>
        <w:t>The year by channel and quarter — keep an Experiments line, and keep unallocated budget visible.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Year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Annual marketing budget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/>
        </w:tc>
        <w:tc>
          <w:tcPr>
            <w:tcW w:type="dxa" w:w="3168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25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Channel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Q1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Q2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Q3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Q4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% of budget</w:t>
            </w:r>
          </w:p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Paid search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Paid social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Content &amp; SEO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Email &amp; CRM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Events &amp; sponsorships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Print &amp; local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Tools &amp; software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Agency &amp; freelance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Brand &amp; creative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Experiments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Totals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UNALLOCATED (budget - planned)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