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NONPROFIT OPERATING BUDGET</w:t>
      </w:r>
    </w:p>
    <w:p>
      <w:pPr>
        <w:spacing w:after="160"/>
      </w:pPr>
      <w:r>
        <w:rPr>
          <w:color w:val="64748B"/>
          <w:sz w:val="17"/>
        </w:rPr>
        <w:t>Revenue by source, expenses by function — program, management &amp; general, fundraising.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Organization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Fiscal year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446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Category</w:t>
            </w:r>
          </w:p>
        </w:tc>
        <w:tc>
          <w:tcPr>
            <w:tcW w:type="dxa" w:w="208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Planned</w:t>
            </w:r>
          </w:p>
        </w:tc>
        <w:tc>
          <w:tcPr>
            <w:tcW w:type="dxa" w:w="208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Actual</w:t>
            </w:r>
          </w:p>
        </w:tc>
        <w:tc>
          <w:tcPr>
            <w:tcW w:type="dxa" w:w="216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Difference</w:t>
            </w:r>
          </w:p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8"/>
              </w:rPr>
              <w:t>REVENUE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Individual contributions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Grants — unrestricted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Grants — restricted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Program fees &amp; events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Other revenue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Revenue total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8"/>
              </w:rPr>
              <w:t>PROGRAM SERVICES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Program staff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Program supplies &amp; travel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Direct assistance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Program services total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8"/>
              </w:rPr>
              <w:t>MANAGEMENT &amp; GENERAL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Admin staff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Office, insurance &amp; professional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Management &amp; general total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8"/>
              </w:rPr>
              <w:t>FUNDRAISING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Fundraising staff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Events, appeals &amp; systems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Fundraising total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Total expenses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SURPLUS / (DEFICIT)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Program expense ratio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</w:tbl>
    <w:p>
      <w:pPr>
        <w:spacing w:before="200"/>
        <w:jc w:val="center"/>
      </w:pPr>
      <w:r>
        <w:rPr>
          <w:color w:val="64748B"/>
          <w:sz w:val="15"/>
        </w:rPr>
        <w:t>Free budget template from Apollo's Templates — www.apollostemplates.com/budgets/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