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PERSONAL BUDGET</w:t>
      </w:r>
    </w:p>
    <w:p>
      <w:pPr>
        <w:spacing w:after="160"/>
      </w:pPr>
      <w:r>
        <w:rPr>
          <w:color w:val="64748B"/>
          <w:sz w:val="17"/>
        </w:rPr>
        <w:t>One income, every dollar visible. Total each group, then check what's left of your pay.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Month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Monthly take-home pay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/>
        </w:tc>
        <w:tc>
          <w:tcPr>
            <w:tcW w:type="dxa" w:w="3168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446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Planned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Actual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Difference</w:t>
            </w:r>
          </w:p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HOUSING &amp; UTILITIES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Rent / mortgage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Utilities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Internet &amp; phone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Insurance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Housing &amp; utilities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LIVING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Groceries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Dining &amp; coffee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Transportation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Personal care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Living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SAVINGS &amp; DEBT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Savings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Investing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Debt payments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Savings &amp; debt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LIFESTYLE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Entertainment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Subscriptions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Clothing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Other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Lifestyle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planned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actual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LEFT OVER (pay - actual)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