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PROJECT BUDGET</w:t>
      </w:r>
    </w:p>
    <w:p>
      <w:pPr>
        <w:spacing w:after="160"/>
      </w:pPr>
      <w:r>
        <w:rPr>
          <w:color w:val="64748B"/>
          <w:sz w:val="17"/>
        </w:rPr>
        <w:t>One row per task: labor hours × rate plus materials, against each task's own budget line.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Start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Target end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273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 / phase</w:t>
            </w:r>
          </w:p>
        </w:tc>
        <w:tc>
          <w:tcPr>
            <w:tcW w:type="dxa" w:w="93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Labor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Other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Total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Budget</w:t>
            </w:r>
          </w:p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Totals</w:t>
            </w:r>
          </w:p>
        </w:tc>
        <w:tc>
          <w:tcPr>
            <w:tcW w:type="dxa" w:w="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REMAINING (budget - cost)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