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RESTAURANT BUDGET</w:t>
      </w:r>
    </w:p>
    <w:p>
      <w:pPr>
        <w:spacing w:after="160"/>
      </w:pPr>
      <w:r>
        <w:rPr>
          <w:color w:val="64748B"/>
          <w:sz w:val="17"/>
        </w:rPr>
        <w:t>Manage to prime cost: food 28-35% of food sales, beverage 18-24%, prime at or under 60% of sales.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Restaurant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Month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446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Line</w:t>
            </w:r>
          </w:p>
        </w:tc>
        <w:tc>
          <w:tcPr>
            <w:tcW w:type="dxa" w:w="21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Planned</w:t>
            </w:r>
          </w:p>
        </w:tc>
        <w:tc>
          <w:tcPr>
            <w:tcW w:type="dxa" w:w="21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Actual</w:t>
            </w:r>
          </w:p>
        </w:tc>
        <w:tc>
          <w:tcPr>
            <w:tcW w:type="dxa" w:w="201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% of sales</w:t>
            </w:r>
          </w:p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SALES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Food sales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Beverage sales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Total sales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COST OF GOODS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Food cost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Beverage cost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LABOR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Front of house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Back of house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Payroll taxes &amp; benefits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PRIME COST (COGS + labor)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OPERATING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Rent &amp; CAM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Utilities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Marketing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Supplies, fees &amp; other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NET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budget template from Apollo's Templates — www.apollostemplates.com/budgets/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