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WEDDING BUDGET</w:t>
      </w:r>
    </w:p>
    <w:p>
      <w:pPr>
        <w:spacing w:after="160"/>
      </w:pPr>
      <w:r>
        <w:rPr>
          <w:color w:val="64748B"/>
          <w:sz w:val="17"/>
        </w:rPr>
        <w:t>Split the total with the typical shares, then track estimates, deposits, and balances per category.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Couple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Wedding date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Total budget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Guest count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273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Typical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Your budget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Estimate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Paid so far</w:t>
            </w:r>
          </w:p>
        </w:tc>
        <w:tc>
          <w:tcPr>
            <w:tcW w:type="dxa" w:w="16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Balance due</w:t>
            </w:r>
          </w:p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Venue &amp; catering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40–50%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Photography &amp; video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10–12%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Flowers &amp; décor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8–10%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Attire &amp; beauty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5–8%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Music &amp; entertainment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5–10%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Stationery &amp; postage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2–3%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Rings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2–3%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Transportation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2–3%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Favors &amp; gifts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2–3%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Officiant &amp; ceremony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1–2%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Contingency buffer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5–10%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75" w:hRule="atLeast"/>
        </w:trPr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7"/>
              </w:rPr>
              <w:t>Totals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6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Still unallocated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STILL TO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Typical shares reflect what planners commonly see — a starting split to rebalance around your priorities, not a rule.</w:t>
      </w:r>
    </w:p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