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WEEKLY BUDGET</w:t>
      </w:r>
    </w:p>
    <w:p>
      <w:pPr>
        <w:spacing w:after="160"/>
      </w:pPr>
      <w:r>
        <w:rPr>
          <w:color w:val="64748B"/>
          <w:sz w:val="17"/>
        </w:rPr>
        <w:t>One monthly plan per category; log each week's spending and keep a running Left column.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>
        <w:trPr>
          <w:trHeight w:val="374" w:hRule="atLeast"/>
        </w:trPr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</w:t>
            </w:r>
          </w:p>
        </w:tc>
        <w:tc>
          <w:tcPr>
            <w:tcW w:type="dxa" w:w="1037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Wk 1</w:t>
            </w:r>
          </w:p>
        </w:tc>
        <w:tc>
          <w:tcPr>
            <w:tcW w:type="dxa" w:w="1037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Wk 2</w:t>
            </w:r>
          </w:p>
        </w:tc>
        <w:tc>
          <w:tcPr>
            <w:tcW w:type="dxa" w:w="1037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Wk 3</w:t>
            </w:r>
          </w:p>
        </w:tc>
        <w:tc>
          <w:tcPr>
            <w:tcW w:type="dxa" w:w="1037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Wk 4</w:t>
            </w:r>
          </w:p>
        </w:tc>
        <w:tc>
          <w:tcPr>
            <w:tcW w:type="dxa" w:w="1037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Wk 5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Spent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Left</w:t>
            </w:r>
          </w:p>
        </w:tc>
      </w:tr>
      <w:tr>
        <w:trPr>
          <w:trHeight w:val="576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Groceries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76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Dining &amp; coffee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76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Fuel &amp; transit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76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Household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76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Personal care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76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Entertainment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76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Kids &amp; pets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76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Other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76" w:hRule="atLeast"/>
        </w:trPr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Totals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3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Week columns hold whatever you spent that week — one number or a running tally. Short fifth week? Leave it nearly empty.</w:t>
      </w:r>
    </w:p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