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00"/>
        <w:jc w:val="center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E3B5E" w:color="auto" w:val="clear"/>
            <w:tcMar>
              <w:top w:type="dxa" w:w="240"/>
              <w:left w:type="dxa" w:w="0"/>
              <w:bottom w:type="dxa" w:w="24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33"/>
                <w:szCs w:val="33"/>
              </w:rPr>
              <w:t xml:space="preserve">SH</w:t>
            </w:r>
          </w:p>
        </w:tc>
      </w:tr>
    </w:tbl>
    <w:p>
      <w:pPr>
        <w:spacing w:after="60" w:before="140"/>
        <w:jc w:val="center"/>
      </w:pPr>
      <w:r>
        <w:rPr>
          <w:rFonts w:ascii="Georgia" w:cs="Georgia" w:eastAsia="Georgia" w:hAnsi="Georgia"/>
          <w:color w:val="2C2F36"/>
          <w:sz w:val="41"/>
          <w:szCs w:val="41"/>
        </w:rPr>
        <w:t xml:space="preserve">Samuel Hart</w:t>
      </w:r>
    </w:p>
    <w:p>
      <w:pPr>
        <w:pBdr>
          <w:bottom w:val="single" w:color="D2D8E2" w:sz="6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Across [X years] of customer-facing work I have learned that great service is measurable — my [CSAT score / resolution rate / quality score] shows it — and I would bring that same standard to your customers.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handle [X calls, chats, or tickets per day] and [quantified result — maintain a 96% satisfaction score, cut average resolution time, was selected to train new hires]. I know [tools — Zendesk, Salesforce, your POS] and how to de-escalate a frustrated customer while protecting the business.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appeals to me because [specific reason — its service reputation, its product, its promote-from-within culture]. I can work [schedule flexibility], am comfortable across [phone, chat, and in-person], and pick up new systems quickly.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would welcome the chance to interview, and I am available at [phone / email] at your convenience.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5E3B5E"/>
          <w:sz w:val="18"/>
          <w:szCs w:val="18"/>
        </w:rPr>
        <w:t xml:space="preserve">Samuel Hart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2026-06-27T18:46:58.138Z</dcterms:created>
  <dcterms:modified xsi:type="dcterms:W3CDTF">2026-06-27T18:46:58.138Z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