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CONTRACTOR EXPENSE REPORT</w:t>
      </w:r>
    </w:p>
    <w:p>
      <w:pPr>
        <w:spacing w:after="160"/>
      </w:pPr>
      <w:r>
        <w:rPr>
          <w:color w:val="64748B"/>
          <w:sz w:val="17"/>
        </w:rPr>
        <w:t>Reimbursable expenses to bill a client - one row per receipt, optional markup, billable total.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Contractor /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Client (bill to)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/ PO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Markup on expenses (%)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Receipt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Billable?</w:t>
            </w:r>
          </w:p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All expenses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Billable expenses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Markup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BILLABLE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Contractor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Client acknowledgment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Not-billable rows stay as your own Schedule C record. 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