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CREDIT CARD EXPENSE REPORT</w:t>
      </w:r>
    </w:p>
    <w:p>
      <w:pPr>
        <w:spacing w:after="160"/>
      </w:pPr>
      <w:r>
        <w:rPr>
          <w:color w:val="64748B"/>
          <w:sz w:val="17"/>
        </w:rPr>
        <w:t>One row per statement line. Mark each charge Business or Personal; reconcile against the statement below.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Cardholder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Card (last four)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Statement month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Statement balance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38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Merchant / description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Type (B/P)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Rcpt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60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charges entered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Business charges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Personal charges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DIFFERENCE vs statement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Cardholder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Approved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Reconciled when the difference is $0.00. A statement alone doesn't satisfy IRS substantiation — it shows the amount but not the business purpose — so keep itemized receipts for business charges. Categories: Airfare · Lodging · Meals &amp; tips · Ground transport · Fuel / mileage · Parking &amp; tolls · Supplies · Phone / internet · Entertainment · Other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