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EXPENSE REPORT</w:t>
      </w:r>
    </w:p>
    <w:p>
      <w:pPr>
        <w:spacing w:after="160"/>
      </w:pPr>
      <w:r>
        <w:rPr>
          <w:color w:val="64748B"/>
          <w:sz w:val="17"/>
        </w:rPr>
        <w:t>One row per expense. Attach receipts; subtract any cash advance at the bottom.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Manager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Department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Business purpose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 from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rPr>
          <w:trHeight w:val="374" w:hRule="atLeast"/>
        </w:trPr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41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Payment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460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1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Subtotal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Less cash advance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REIMBURSEMENT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Approved by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Categories: Airfare · Lodging · Meals &amp; tips · Ground transport · Fuel / mileage · Parking &amp; tolls · Supplies · Phone / internet · Entertainment · Other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