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MEDICAL EXPENSE REPORT</w:t>
      </w:r>
    </w:p>
    <w:p>
      <w:pPr>
        <w:spacing w:after="160"/>
      </w:pPr>
      <w:r>
        <w:rPr>
          <w:color w:val="64748B"/>
          <w:sz w:val="17"/>
        </w:rPr>
        <w:t>One row per visit, prescription, or bill. Out-of-pocket = billed minus insurance paid.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Tax year / 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Plan / HSA account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Prepared for (tax, HSA, FSA, claim)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Patient</w:t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Provider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Service / item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Billed</w:t>
            </w:r>
          </w:p>
        </w:tc>
        <w:tc>
          <w:tcPr>
            <w:tcW w:type="dxa" w:w="1411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Insurance paid</w:t>
            </w:r>
          </w:p>
        </w:tc>
        <w:tc>
          <w:tcPr>
            <w:tcW w:type="dxa" w:w="1397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Out-of-pocket</w:t>
            </w:r>
          </w:p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74" w:hRule="atLeast"/>
        </w:trPr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11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397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billed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insurance paid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OUT-OF-POCKET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Prepared by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Reviewed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Keep the EOB and receipt for every row. Schedule A: only unreimbursed medical expenses above 7.5% of AGI are deductible; HSA/FSA reimbursements need the receipt regardless.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