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MILEAGE LOG</w:t>
      </w:r>
    </w:p>
    <w:p>
      <w:pPr>
        <w:spacing w:after="160"/>
      </w:pPr>
      <w:r>
        <w:rPr>
          <w:color w:val="64748B"/>
          <w:sz w:val="17"/>
        </w:rPr>
        <w:t>One row per trip. Record odometer readings or miles; multiply total miles by your rate.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Vehicle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Rate per mile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From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</w:t>
            </w:r>
          </w:p>
        </w:tc>
        <w:tc>
          <w:tcPr>
            <w:tcW w:type="dxa" w:w="24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Business purpose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Odometer start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Odometer end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Miles</w:t>
            </w:r>
          </w:p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miles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REIMBURSEMENT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Driver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IRS standard business rate for 2026: 72.5¢/mile Jan–Jun, 76¢/mile Jul–Dec. The IRS updates the rate each year; your employer may reimburse at a different one.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