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NONPROFIT EXPENSE REPORT</w:t>
      </w:r>
    </w:p>
    <w:p>
      <w:pPr>
        <w:spacing w:after="160"/>
      </w:pPr>
      <w:r>
        <w:rPr>
          <w:color w:val="64748B"/>
          <w:sz w:val="17"/>
        </w:rPr>
        <w:t>Every expense tagged to the program or fund that authorized it. Volunteer miles reimburse at the charitable rate.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Organization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Prepared by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Role (staff / volunteer)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Program / event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Period from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Period to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345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21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Program / fund</w:t>
            </w:r>
          </w:p>
        </w:tc>
        <w:tc>
          <w:tcPr>
            <w:tcW w:type="dxa" w:w="180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86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Rcpt</w:t>
            </w:r>
          </w:p>
        </w:tc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before="120" w:after="40"/>
      </w:pPr>
      <w:r>
        <w:rPr>
          <w:b/>
          <w:color w:val="2B7FFF"/>
          <w:sz w:val="22"/>
        </w:rPr>
        <w:t>PROGRAM / FUND SUMMARY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Expenses subtotal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Volunteer miles × 14¢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REIMBURSEMENT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Prepared by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Treasurer / board approval / date</w:t>
            </w:r>
          </w:p>
        </w:tc>
      </w:tr>
    </w:tbl>
    <w:p>
      <w:pPr>
        <w:spacing w:before="160"/>
      </w:pPr>
      <w:r>
        <w:rPr>
          <w:color w:val="64748B"/>
          <w:sz w:val="16"/>
        </w:rPr>
        <w:t>Tag every expense to the program or fund that authorized it — restricted and grant-funded money has to be traceable to its purpose. Volunteers reimburse at 14¢/mile (set by Congress, unchanged since 1998); paid staff driving on business use the standard IRS business rate instead.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