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PETTY CASH LOG</w:t>
      </w:r>
    </w:p>
    <w:p>
      <w:pPr>
        <w:spacing w:after="160"/>
      </w:pPr>
      <w:r>
        <w:rPr>
          <w:color w:val="64748B"/>
          <w:sz w:val="17"/>
        </w:rPr>
        <w:t>One row per transaction. Carry the balance down; count the box when you reconcile.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Custodian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Reviewed by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Location / box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Period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Fund (float) amount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/>
        </w:tc>
        <w:tc>
          <w:tcPr>
            <w:tcW w:type="dxa" w:w="3456"/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00"/>
        <w:gridCol w:w="1800"/>
        <w:gridCol w:w="1800"/>
        <w:gridCol w:w="1800"/>
        <w:gridCol w:w="1800"/>
        <w:gridCol w:w="1800"/>
      </w:tblGrid>
      <w:tr>
        <w:trPr>
          <w:trHeight w:val="374" w:hRule="atLeast"/>
        </w:trPr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403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Description</w:t>
            </w:r>
          </w:p>
        </w:tc>
        <w:tc>
          <w:tcPr>
            <w:tcW w:type="dxa" w:w="122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Receipt #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Money in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Money out</w:t>
            </w:r>
          </w:p>
        </w:tc>
        <w:tc>
          <w:tcPr>
            <w:tcW w:type="dxa" w:w="1440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Balance</w:t>
            </w:r>
          </w:p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403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2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440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money in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money out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Expected balance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Cash counted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OVER / SHORT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Custodian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Reviewed by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Keep a receipt or signed voucher in the box for every payout. Replenish the fund back to its float amount — the replenishment check should equal the receipts since the last top-up.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