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QUARTERLY EXPENSE REPORT</w:t>
      </w:r>
    </w:p>
    <w:p>
      <w:pPr>
        <w:spacing w:after="160"/>
      </w:pPr>
      <w:r>
        <w:rPr>
          <w:color w:val="64748B"/>
          <w:sz w:val="17"/>
        </w:rPr>
        <w:t>Category totals for each month of the quarter; total across and down.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 / department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Quarter (e.g. Q3 2026)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Prepared by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Budget for quarter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trHeight w:val="374" w:hRule="atLeast"/>
        </w:trPr>
        <w:tc>
          <w:tcPr>
            <w:tcW w:type="dxa" w:w="33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Month 1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Month 2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Month 3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Quarter total</w:t>
            </w:r>
          </w:p>
        </w:tc>
      </w:tr>
      <w:tr>
        <w:trPr>
          <w:trHeight w:val="432" w:hRule="atLeast"/>
        </w:trPr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Airfare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Lodging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Meals &amp; tips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Ground transport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Fuel / mileage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Parking &amp; tolls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Supplies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Phone / internet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Entertainment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Other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Month totals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QUARTER TOTAL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Budget for quarter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Over / (under) budget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Prepared by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Reviewed by / date</w:t>
            </w:r>
          </w:p>
        </w:tc>
      </w:tr>
    </w:tbl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