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TRAVEL EXPENSE REPORT</w:t>
      </w:r>
    </w:p>
    <w:p>
      <w:pPr>
        <w:spacing w:after="160"/>
      </w:pPr>
      <w:r>
        <w:rPr>
          <w:color w:val="64748B"/>
          <w:sz w:val="17"/>
        </w:rPr>
        <w:t>One row per travel day, one column per expense type. Total each day across and each column down.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Destination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Business purpose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Trip start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Trip end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>
        <w:trPr>
          <w:trHeight w:val="374" w:hRule="atLeast"/>
        </w:trPr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Airfare &amp; transit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Lodging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Meals &amp; tips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Fuel / mileage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Parking &amp; tolls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Other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Daily total</w:t>
            </w:r>
          </w:p>
        </w:tc>
      </w:tr>
      <w:tr>
        <w:trPr>
          <w:trHeight w:val="489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89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89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89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89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Totals</w:t>
            </w:r>
          </w:p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Less cash advance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REIMBURSEMENT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Approved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Attach receipts — the IRS requires them for all lodging and any other single expense of $75 or more. Driving your own car? Log miles on the mileage log and claim them under Fuel / mileage.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