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1" w:lineRule="auto"/>
              <w:ind w:left="432" w:right="432"/>
              <w:jc w:val="center"/>
            </w:pPr>
            <w:r>
              <w:rPr>
                <w:rFonts w:ascii="Garamond" w:cs="Garamond" w:eastAsia="Garamond" w:hAnsi="Garamond"/>
                <w:b/>
                <w:bCs/>
                <w:caps/>
                <w:color w:val="1D2B4F"/>
                <w:spacing w:val="30"/>
                <w:sz w:val="31"/>
                <w:szCs w:val="31"/>
              </w:rPr>
              <w:t xml:space="preserve">With Gratitude</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80" w:line="276" w:lineRule="auto"/>
              <w:ind w:left="432" w:right="432"/>
              <w:jc w:val="center"/>
            </w:pPr>
            <w:r>
              <w:rPr>
                <w:rFonts w:ascii="Garamond" w:cs="Garamond" w:eastAsia="Garamond" w:hAnsi="Garamond"/>
                <w:color w:val="1D2B4F"/>
                <w:sz w:val="26"/>
                <w:szCs w:val="26"/>
              </w:rPr>
              <w:t xml:space="preserve">The O’Brien family thanks Father Doyle, the parish staff and music ministry, and all who offered Masses, prayers, and kindness.</w:t>
            </w:r>
          </w:p>
          <w:p>
            <w:pPr>
              <w:spacing w:after="20" w:before="200" w:line="287" w:lineRule="auto"/>
              <w:ind w:left="432" w:right="432"/>
              <w:jc w:val="center"/>
            </w:pPr>
            <w:r>
              <w:rPr>
                <w:rFonts w:ascii="Garamond" w:cs="Garamond" w:eastAsia="Garamond" w:hAnsi="Garamond"/>
                <w:b/>
                <w:bCs/>
                <w:caps/>
                <w:color w:val="B08D3C"/>
                <w:spacing w:val="24"/>
                <w:sz w:val="22"/>
                <w:szCs w:val="22"/>
              </w:rPr>
              <w:t xml:space="preserve">Pallbearers</w:t>
            </w:r>
          </w:p>
          <w:p>
            <w:pPr>
              <w:spacing w:after="0" w:before="0" w:line="282" w:lineRule="auto"/>
              <w:ind w:left="432" w:right="432"/>
              <w:jc w:val="center"/>
            </w:pPr>
            <w:r>
              <w:rPr>
                <w:rFonts w:ascii="Garamond" w:cs="Garamond" w:eastAsia="Garamond" w:hAnsi="Garamond"/>
                <w:color w:val="1D2B4F"/>
                <w:sz w:val="27"/>
                <w:szCs w:val="27"/>
              </w:rPr>
              <w:t xml:space="preserve">Patrick O’Brien   ·   Brian O’Brien</w:t>
            </w:r>
          </w:p>
          <w:p>
            <w:pPr>
              <w:spacing w:after="0" w:before="0" w:line="282" w:lineRule="auto"/>
              <w:ind w:left="432" w:right="432"/>
              <w:jc w:val="center"/>
            </w:pPr>
            <w:r>
              <w:rPr>
                <w:rFonts w:ascii="Garamond" w:cs="Garamond" w:eastAsia="Garamond" w:hAnsi="Garamond"/>
                <w:color w:val="1D2B4F"/>
                <w:sz w:val="27"/>
                <w:szCs w:val="27"/>
              </w:rPr>
              <w:t xml:space="preserve">Sean Walsh   ·   Kevin O’Brien</w:t>
            </w:r>
          </w:p>
          <w:p>
            <w:pPr>
              <w:spacing w:after="0" w:before="0" w:line="282" w:lineRule="auto"/>
              <w:ind w:left="432" w:right="432"/>
              <w:jc w:val="center"/>
            </w:pPr>
            <w:r>
              <w:rPr>
                <w:rFonts w:ascii="Garamond" w:cs="Garamond" w:eastAsia="Garamond" w:hAnsi="Garamond"/>
                <w:color w:val="1D2B4F"/>
                <w:sz w:val="27"/>
                <w:szCs w:val="27"/>
              </w:rPr>
              <w:t xml:space="preserve">Daniel Walsh   ·   Ryan O’Brien</w:t>
            </w:r>
          </w:p>
          <w:p>
            <w:pPr>
              <w:spacing w:after="20" w:before="160" w:line="287" w:lineRule="auto"/>
              <w:ind w:left="432" w:right="432"/>
              <w:jc w:val="center"/>
            </w:pPr>
            <w:r>
              <w:rPr>
                <w:rFonts w:ascii="Garamond" w:cs="Garamond" w:eastAsia="Garamond" w:hAnsi="Garamond"/>
                <w:b/>
                <w:bCs/>
                <w:caps/>
                <w:color w:val="B08D3C"/>
                <w:spacing w:val="24"/>
                <w:sz w:val="22"/>
                <w:szCs w:val="22"/>
              </w:rPr>
              <w:t xml:space="preserve">Rite of Committal</w:t>
            </w:r>
          </w:p>
          <w:p>
            <w:pPr>
              <w:spacing w:after="0" w:before="0" w:line="276" w:lineRule="auto"/>
              <w:ind w:left="432" w:right="432"/>
              <w:jc w:val="center"/>
            </w:pPr>
            <w:r>
              <w:rPr>
                <w:rFonts w:ascii="Garamond" w:cs="Garamond" w:eastAsia="Garamond" w:hAnsi="Garamond"/>
                <w:color w:val="1D2B4F"/>
                <w:sz w:val="26"/>
                <w:szCs w:val="26"/>
              </w:rPr>
              <w:t xml:space="preserve">Calvary Cemetery, following the Mass</w:t>
            </w:r>
          </w:p>
          <w:p>
            <w:pPr>
              <w:spacing w:after="20" w:before="120" w:line="287" w:lineRule="auto"/>
              <w:ind w:left="432" w:right="432"/>
              <w:jc w:val="center"/>
            </w:pPr>
            <w:r>
              <w:rPr>
                <w:rFonts w:ascii="Garamond" w:cs="Garamond" w:eastAsia="Garamond" w:hAnsi="Garamond"/>
                <w:b/>
                <w:bCs/>
                <w:caps/>
                <w:color w:val="B08D3C"/>
                <w:spacing w:val="24"/>
                <w:sz w:val="22"/>
                <w:szCs w:val="22"/>
              </w:rPr>
              <w:t xml:space="preserve">Holy Communion</w:t>
            </w:r>
          </w:p>
          <w:p>
            <w:pPr>
              <w:spacing w:after="0" w:before="0" w:line="276" w:lineRule="auto"/>
              <w:ind w:left="432" w:right="432"/>
              <w:jc w:val="center"/>
            </w:pPr>
            <w:r>
              <w:rPr>
                <w:rFonts w:ascii="Garamond" w:cs="Garamond" w:eastAsia="Garamond" w:hAnsi="Garamond"/>
                <w:color w:val="1D2B4F"/>
                <w:sz w:val="26"/>
                <w:szCs w:val="26"/>
              </w:rPr>
              <w:t xml:space="preserve">Catholics who are prepared are welcome to receive Communion. All others are invited to come forward for a blessing or to remain in prayer.</w:t>
            </w:r>
          </w:p>
          <w:p>
            <w:pPr>
              <w:spacing w:after="20" w:before="120" w:line="287" w:lineRule="auto"/>
              <w:ind w:left="432" w:right="432"/>
              <w:jc w:val="center"/>
            </w:pPr>
            <w:r>
              <w:rPr>
                <w:rFonts w:ascii="Garamond" w:cs="Garamond" w:eastAsia="Garamond" w:hAnsi="Garamond"/>
                <w:b/>
                <w:bCs/>
                <w:caps/>
                <w:color w:val="B08D3C"/>
                <w:spacing w:val="24"/>
                <w:sz w:val="22"/>
                <w:szCs w:val="22"/>
              </w:rPr>
              <w:t xml:space="preserve">Luncheon</w:t>
            </w:r>
          </w:p>
          <w:p>
            <w:pPr>
              <w:spacing w:after="0" w:before="0" w:line="276" w:lineRule="auto"/>
              <w:ind w:left="432" w:right="432"/>
              <w:jc w:val="center"/>
            </w:pPr>
            <w:r>
              <w:rPr>
                <w:rFonts w:ascii="Garamond" w:cs="Garamond" w:eastAsia="Garamond" w:hAnsi="Garamond"/>
                <w:color w:val="1D2B4F"/>
                <w:sz w:val="26"/>
                <w:szCs w:val="26"/>
              </w:rPr>
              <w:t xml:space="preserve">Parish hall, after the committal</w:t>
            </w:r>
          </w:p>
          <w:p>
            <w:pPr>
              <w:spacing w:after="0" w:before="240" w:line="276" w:lineRule="auto"/>
              <w:ind w:left="432" w:right="432"/>
              <w:jc w:val="center"/>
            </w:pPr>
            <w:r>
              <w:rPr>
                <w:rFonts w:ascii="Garamond" w:cs="Garamond" w:eastAsia="Garamond" w:hAnsi="Garamond"/>
                <w:i/>
                <w:iCs/>
                <w:color w:val="1D2B4F"/>
                <w:sz w:val="26"/>
                <w:szCs w:val="26"/>
              </w:rPr>
              <w:t xml:space="preserve">I am the resurrection, and the life: he that</w:t>
            </w:r>
          </w:p>
          <w:p>
            <w:pPr>
              <w:spacing w:after="40" w:before="0" w:line="276" w:lineRule="auto"/>
              <w:ind w:left="432" w:right="432"/>
              <w:jc w:val="center"/>
            </w:pPr>
            <w:r>
              <w:rPr>
                <w:rFonts w:ascii="Garamond" w:cs="Garamond" w:eastAsia="Garamond" w:hAnsi="Garamond"/>
                <w:i/>
                <w:iCs/>
                <w:color w:val="1D2B4F"/>
                <w:sz w:val="26"/>
                <w:szCs w:val="26"/>
              </w:rPr>
              <w:t xml:space="preserve">believeth in me, though he were dead, yet shall he live.</w:t>
            </w:r>
          </w:p>
          <w:p>
            <w:pPr>
              <w:spacing w:after="0" w:before="0" w:line="285" w:lineRule="auto"/>
              <w:ind w:left="432" w:right="432"/>
              <w:jc w:val="center"/>
            </w:pPr>
            <w:r>
              <w:rPr>
                <w:rFonts w:ascii="Garamond" w:cs="Garamond" w:eastAsia="Garamond" w:hAnsi="Garamond"/>
                <w:caps/>
                <w:color w:val="B08D3C"/>
                <w:spacing w:val="24"/>
                <w:sz w:val="20"/>
                <w:szCs w:val="20"/>
              </w:rPr>
              <w:t xml:space="preserve">John 11:25</w:t>
            </w:r>
          </w:p>
        </w:tc>
        <w:tc>
          <w:tcPr>
            <w:tcW w:type="dxa" w:w="720"/>
            <w:tcBorders>
              <w:top w:val="none" w:color="FFFFFF" w:sz="0"/>
              <w:left w:val="none" w:color="FFFFFF" w:sz="0"/>
              <w:bottom w:val="none" w:color="FFFFFF" w:sz="0"/>
              <w:right w:val="none" w:color="FFFFFF" w:sz="0"/>
            </w:tcBorders>
          </w:tcPr>
          <w:p/>
        </w:tc>
        <w:tc>
          <w:tcPr>
            <w:tcW w:type="dxa" w:w="7056"/>
            <w:tcBorders>
              <w:top w:val="double" w:color="B08D3C" w:sz="6"/>
              <w:left w:val="double" w:color="B08D3C" w:sz="6"/>
              <w:bottom w:val="double" w:color="B08D3C" w:sz="6"/>
              <w:right w:val="double" w:color="B08D3C" w:sz="6"/>
            </w:tcBorders>
            <w:tcMar>
              <w:top w:type="dxa" w:w="0"/>
              <w:left w:type="dxa" w:w="0"/>
              <w:bottom w:type="dxa" w:w="0"/>
              <w:right w:type="dxa" w:w="0"/>
            </w:tcMar>
            <w:vAlign w:val="center"/>
          </w:tcPr>
          <w:p>
            <w:pPr>
              <w:spacing w:after="0" w:before="0"/>
              <w:ind w:left="432" w:right="432"/>
              <w:jc w:val="center"/>
            </w:pPr>
            <w:r>
              <w:drawing>
                <wp:inline distT="0" distB="0" distL="0" distR="0">
                  <wp:extent cx="3933825" cy="120967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33825" cy="1209675"/>
                          </a:xfrm>
                          <a:prstGeom prst="rect">
                            <a:avLst/>
                          </a:prstGeom>
                        </pic:spPr>
                      </pic:pic>
                    </a:graphicData>
                  </a:graphic>
                </wp:inline>
              </w:drawing>
            </w:r>
          </w:p>
          <w:p>
            <w:pPr>
              <w:spacing w:after="0" w:before="160" w:line="274" w:lineRule="auto"/>
              <w:ind w:left="432" w:right="432"/>
              <w:jc w:val="center"/>
            </w:pPr>
            <w:r>
              <w:rPr>
                <w:rFonts w:ascii="Garamond" w:cs="Garamond" w:eastAsia="Garamond" w:hAnsi="Garamond"/>
                <w:caps/>
                <w:color w:val="B08D3C"/>
                <w:spacing w:val="40"/>
                <w:sz w:val="20"/>
                <w:szCs w:val="20"/>
              </w:rPr>
              <w:t xml:space="preserve">Mass of Christian Burial</w:t>
            </w:r>
          </w:p>
          <w:p>
            <w:pPr>
              <w:spacing w:after="0" w:before="160"/>
              <w:ind w:left="432" w:right="432"/>
              <w:jc w:val="center"/>
            </w:pPr>
            <w:r>
              <w:drawing>
                <wp:inline distT="0" distB="0" distL="0" distR="0">
                  <wp:extent cx="1733550" cy="2190750"/>
                  <wp:effectExtent t="0" r="0" b="0" l="0"/>
                  <wp:docPr id="1" name="Photo" descr="Photo placeholder. Right-click and choose Change Picture to add your own."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33550" cy="2190750"/>
                          </a:xfrm>
                          <a:prstGeom prst="rect">
                            <a:avLst/>
                          </a:prstGeom>
                        </pic:spPr>
                      </pic:pic>
                    </a:graphicData>
                  </a:graphic>
                </wp:inline>
              </w:drawing>
            </w:r>
          </w:p>
          <w:p>
            <w:pPr>
              <w:spacing w:after="60" w:before="200" w:line="239" w:lineRule="auto"/>
              <w:ind w:left="432" w:right="432"/>
              <w:jc w:val="center"/>
            </w:pPr>
            <w:r>
              <w:rPr>
                <w:rFonts w:ascii="Garamond" w:cs="Garamond" w:eastAsia="Garamond" w:hAnsi="Garamond"/>
                <w:caps/>
                <w:color w:val="1D2B4F"/>
                <w:sz w:val="43"/>
                <w:szCs w:val="43"/>
              </w:rPr>
              <w:t xml:space="preserve">Mary Catherine O’Brien</w:t>
            </w:r>
          </w:p>
          <w:p>
            <w:pPr>
              <w:spacing w:after="40" w:before="0" w:line="274" w:lineRule="auto"/>
              <w:ind w:left="432" w:right="432"/>
              <w:jc w:val="center"/>
            </w:pPr>
            <w:r>
              <w:rPr>
                <w:rFonts w:ascii="Garamond" w:cs="Garamond" w:eastAsia="Garamond" w:hAnsi="Garamond"/>
                <w:i/>
                <w:iCs/>
                <w:color w:val="1D2B4F"/>
                <w:sz w:val="24"/>
                <w:szCs w:val="24"/>
              </w:rPr>
              <w:t xml:space="preserve">December 8, 1939 – September 15, 2026</w:t>
            </w:r>
          </w:p>
          <w:p>
            <w:pPr>
              <w:spacing w:after="0" w:before="4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0" w:before="40" w:line="283" w:lineRule="auto"/>
              <w:ind w:left="432" w:right="432"/>
              <w:jc w:val="center"/>
            </w:pPr>
            <w:r>
              <w:rPr>
                <w:rFonts w:ascii="Garamond" w:cs="Garamond" w:eastAsia="Garamond" w:hAnsi="Garamond"/>
                <w:color w:val="1D2B4F"/>
                <w:sz w:val="24"/>
                <w:szCs w:val="24"/>
              </w:rPr>
              <w:t xml:space="preserve">Tuesday, September 22, 2026 · 10:00 AM</w:t>
            </w:r>
          </w:p>
          <w:p>
            <w:pPr>
              <w:spacing w:after="0" w:before="0" w:line="283" w:lineRule="auto"/>
              <w:ind w:left="432" w:right="432"/>
              <w:jc w:val="center"/>
            </w:pPr>
            <w:r>
              <w:rPr>
                <w:rFonts w:ascii="Garamond" w:cs="Garamond" w:eastAsia="Garamond" w:hAnsi="Garamond"/>
                <w:color w:val="1D2B4F"/>
                <w:sz w:val="24"/>
                <w:szCs w:val="24"/>
              </w:rPr>
              <w:t xml:space="preserve">St. Joseph Catholic Church</w:t>
            </w:r>
          </w:p>
          <w:p>
            <w:pPr>
              <w:spacing w:after="0" w:before="0" w:line="283" w:lineRule="auto"/>
              <w:ind w:left="432" w:right="432"/>
              <w:jc w:val="center"/>
            </w:pPr>
            <w:r>
              <w:rPr>
                <w:rFonts w:ascii="Garamond" w:cs="Garamond" w:eastAsia="Garamond" w:hAnsi="Garamond"/>
                <w:color w:val="1D2B4F"/>
                <w:sz w:val="24"/>
                <w:szCs w:val="24"/>
              </w:rPr>
              <w:t xml:space="preserve">Rev. Michael Doyle, Celebrant</w:t>
            </w:r>
          </w:p>
          <w:p>
            <w:pPr>
              <w:spacing w:after="0" w:before="160"/>
              <w:ind w:left="432" w:right="432"/>
              <w:jc w:val="center"/>
            </w:pPr>
            <w:r>
              <w:drawing>
                <wp:inline distT="0" distB="0" distL="0" distR="0">
                  <wp:extent cx="3933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33825" cy="276225"/>
                          </a:xfrm>
                          <a:prstGeom prst="rect">
                            <a:avLst/>
                          </a:prstGeom>
                        </pic:spPr>
                      </pic:pic>
                    </a:graphicData>
                  </a:graphic>
                </wp:inline>
              </w:drawing>
            </w:r>
          </w:p>
        </w:tc>
      </w:tr>
    </w:tbl>
    <w:p>
      <w:pPr>
        <w:spacing w:after="0" w:before="0" w:line="20" w:lineRule="exact"/>
      </w:pPr>
      <w:r>
        <w:br w:type="page"/>
      </w:r>
    </w:p>
    <w:tbl>
      <w:tblPr>
        <w:tblW w:type="dxa" w:w="1483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56"/>
        <w:gridCol w:w="720"/>
        <w:gridCol w:w="7056"/>
      </w:tblGrid>
      <w:tr>
        <w:trPr>
          <w:cantSplit/>
          <w:trHeight w:val="10368" w:hRule="atLeast"/>
        </w:trPr>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1D2B4F"/>
                <w:spacing w:val="30"/>
                <w:sz w:val="34"/>
                <w:szCs w:val="34"/>
              </w:rPr>
              <w:t xml:space="preserve">Order of the Funeral Mass</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tbl>
            <w:tblPr>
              <w:tblW w:type="dxa" w:w="705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32"/>
              <w:gridCol w:w="3715"/>
              <w:gridCol w:w="2477"/>
              <w:gridCol w:w="432"/>
            </w:tblGrid>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r>
                    <w:rPr>
                      <w:rFonts w:ascii="Garamond" w:cs="Garamond" w:eastAsia="Garamond" w:hAnsi="Garamond"/>
                      <w:color w:val="1D2B4F"/>
                      <w:sz w:val="27"/>
                      <w:szCs w:val="27"/>
                    </w:rPr>
                    <w:t xml:space="preserve">INTRODUCTORY RITES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12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Greeting and Sprinkling with Holy Water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Placing of the Pall</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The Family</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Entrance Hymn · “Be Not Afraid”</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Collect</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LITURGY OF THE WORD</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First Reading · Wisdom 3:1–9</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Kathleen O’Brien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Responsorial Psalm · Psalm 23</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Cantor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Second Reading · Romans 8:31–39</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Brian O’Brien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Gospel · John 14:1–6</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Fr. Doyle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Homily</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Fr. Doyle</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Universal Prayer</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Megan Walsh</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LITURGY OF THE EUCHARIST</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Presentation of the Gifts</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Grandchildren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Eucharistic Prayer · The Lord’s Prayer</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Holy Communion · “Ave Maria”</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371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Words of Remembrance</w:t>
                  </w:r>
                </w:p>
              </w:tc>
              <w:tc>
                <w:tcPr>
                  <w:tcW w:type="dxa" w:w="247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right"/>
                  </w:pPr>
                  <w:r>
                    <w:rPr>
                      <w:rFonts w:ascii="Garamond" w:cs="Garamond" w:eastAsia="Garamond" w:hAnsi="Garamond"/>
                      <w:i/>
                      <w:iCs/>
                      <w:color w:val="5F6672"/>
                      <w:sz w:val="27"/>
                      <w:szCs w:val="27"/>
                    </w:rPr>
                    <w:t xml:space="preserve">Patrick O’Brien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FINAL COMMENDATION</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Song of Farewell</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r>
              <w:trPr>
                <w:cantSplit/>
              </w:trPr>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c>
                <w:tcPr>
                  <w:tcW w:type="dxa" w:w="619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r>
                    <w:rPr>
                      <w:rFonts w:ascii="Garamond" w:cs="Garamond" w:eastAsia="Garamond" w:hAnsi="Garamond"/>
                      <w:color w:val="1D2B4F"/>
                      <w:sz w:val="27"/>
                      <w:szCs w:val="27"/>
                    </w:rPr>
                    <w:t xml:space="preserve">Recessional · “On Eagle’s Wings”</w:t>
                  </w:r>
                </w:p>
              </w:tc>
              <w:tc>
                <w:tcPr>
                  <w:tcW w:type="dxa" w:w="43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333" w:lineRule="auto"/>
                    <w:jc w:val="left"/>
                  </w:pPr>
                </w:p>
              </w:tc>
            </w:tr>
          </w:tbl>
          <w:p>
            <w:pPr>
              <w:spacing w:after="0" w:before="320"/>
              <w:ind w:left="432" w:right="432"/>
              <w:jc w:val="center"/>
            </w:pPr>
            <w:r>
              <w:drawing>
                <wp:inline distT="0" distB="0" distL="0" distR="0">
                  <wp:extent cx="2743200" cy="1905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190500"/>
                          </a:xfrm>
                          <a:prstGeom prst="rect">
                            <a:avLst/>
                          </a:prstGeom>
                        </pic:spPr>
                      </pic:pic>
                    </a:graphicData>
                  </a:graphic>
                </wp:inline>
              </w:drawing>
            </w:r>
          </w:p>
        </w:tc>
        <w:tc>
          <w:tcPr>
            <w:tcW w:type="dxa" w:w="720"/>
            <w:tcBorders>
              <w:top w:val="none" w:color="FFFFFF" w:sz="0"/>
              <w:left w:val="none" w:color="FFFFFF" w:sz="0"/>
              <w:bottom w:val="none" w:color="FFFFFF" w:sz="0"/>
              <w:right w:val="none" w:color="FFFFFF" w:sz="0"/>
            </w:tcBorders>
          </w:tcPr>
          <w:p/>
        </w:tc>
        <w:tc>
          <w:tcPr>
            <w:tcW w:type="dxa" w:w="7056"/>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60" w:before="0" w:line="274" w:lineRule="auto"/>
              <w:ind w:left="432" w:right="432"/>
              <w:jc w:val="center"/>
            </w:pPr>
            <w:r>
              <w:rPr>
                <w:rFonts w:ascii="Garamond" w:cs="Garamond" w:eastAsia="Garamond" w:hAnsi="Garamond"/>
                <w:b/>
                <w:bCs/>
                <w:caps/>
                <w:color w:val="1D2B4F"/>
                <w:spacing w:val="30"/>
                <w:sz w:val="34"/>
                <w:szCs w:val="34"/>
              </w:rPr>
              <w:t xml:space="preserve">In Remembrance</w:t>
            </w:r>
          </w:p>
          <w:p>
            <w:pPr>
              <w:spacing w:after="0" w:before="0"/>
              <w:ind w:left="432" w:right="432"/>
              <w:jc w:val="center"/>
            </w:pPr>
            <w:r>
              <w:drawing>
                <wp:inline distT="0" distB="0" distL="0" distR="0">
                  <wp:extent cx="1647825" cy="276225"/>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47825" cy="276225"/>
                          </a:xfrm>
                          <a:prstGeom prst="rect">
                            <a:avLst/>
                          </a:prstGeom>
                        </pic:spPr>
                      </pic:pic>
                    </a:graphicData>
                  </a:graphic>
                </wp:inline>
              </w:drawing>
            </w:r>
          </w:p>
          <w:p>
            <w:pPr>
              <w:spacing w:after="160" w:before="120" w:line="279" w:lineRule="auto"/>
              <w:ind w:left="432" w:right="432"/>
              <w:jc w:val="left"/>
            </w:pPr>
            <w:r>
              <w:rPr>
                <w:rFonts w:ascii="Garamond" w:cs="Garamond" w:eastAsia="Garamond" w:hAnsi="Garamond"/>
                <w:color w:val="1D2B4F"/>
                <w:sz w:val="28"/>
                <w:szCs w:val="28"/>
              </w:rPr>
              <w:t xml:space="preserve">Mary Catherine O’Brien was born on the feast of the Immaculate Conception, December 8, 1939, and was a parishioner of St. Joseph for sixty-one years. She taught religious education to two generations of second graders preparing for First Communion.</w:t>
            </w:r>
          </w:p>
          <w:p>
            <w:pPr>
              <w:spacing w:after="160" w:before="0" w:line="279" w:lineRule="auto"/>
              <w:ind w:left="432" w:right="432"/>
              <w:jc w:val="left"/>
            </w:pPr>
            <w:r>
              <w:rPr>
                <w:rFonts w:ascii="Garamond" w:cs="Garamond" w:eastAsia="Garamond" w:hAnsi="Garamond"/>
                <w:color w:val="1D2B4F"/>
                <w:sz w:val="28"/>
                <w:szCs w:val="28"/>
              </w:rPr>
              <w:t xml:space="preserve">She and her late husband, Thomas, raised three children, Patrick, Kathleen, and Brian. She prayed the rosary daily, baked for every parish festival, and is survived by her children, nine grandchildren, and two great-grandchildren.</w:t>
            </w:r>
          </w:p>
          <w:p>
            <w:pPr>
              <w:spacing w:after="0" w:before="200" w:line="279" w:lineRule="auto"/>
              <w:ind w:left="432" w:right="432"/>
              <w:jc w:val="center"/>
            </w:pPr>
            <w:r>
              <w:rPr>
                <w:rFonts w:ascii="Garamond" w:cs="Garamond" w:eastAsia="Garamond" w:hAnsi="Garamond"/>
                <w:i/>
                <w:iCs/>
                <w:color w:val="1D2B4F"/>
                <w:sz w:val="28"/>
                <w:szCs w:val="28"/>
              </w:rPr>
              <w:t xml:space="preserve">Eternal rest grant unto her, O Lord,</w:t>
            </w:r>
          </w:p>
          <w:p>
            <w:pPr>
              <w:spacing w:after="0" w:before="0" w:line="279" w:lineRule="auto"/>
              <w:ind w:left="432" w:right="432"/>
              <w:jc w:val="center"/>
            </w:pPr>
            <w:r>
              <w:rPr>
                <w:rFonts w:ascii="Garamond" w:cs="Garamond" w:eastAsia="Garamond" w:hAnsi="Garamond"/>
                <w:i/>
                <w:iCs/>
                <w:color w:val="1D2B4F"/>
                <w:sz w:val="28"/>
                <w:szCs w:val="28"/>
              </w:rPr>
              <w:t xml:space="preserve">and let perpetual light shine upon her.</w:t>
            </w:r>
          </w:p>
          <w:p>
            <w:pPr>
              <w:spacing w:after="60" w:before="0" w:line="279" w:lineRule="auto"/>
              <w:ind w:left="432" w:right="432"/>
              <w:jc w:val="center"/>
            </w:pPr>
            <w:r>
              <w:rPr>
                <w:rFonts w:ascii="Garamond" w:cs="Garamond" w:eastAsia="Garamond" w:hAnsi="Garamond"/>
                <w:i/>
                <w:iCs/>
                <w:color w:val="1D2B4F"/>
                <w:sz w:val="28"/>
                <w:szCs w:val="28"/>
              </w:rPr>
              <w:t xml:space="preserve">May she rest in peace. Amen.</w:t>
            </w:r>
          </w:p>
          <w:p>
            <w:pPr>
              <w:spacing w:after="0" w:before="320"/>
              <w:ind w:left="432" w:right="432"/>
              <w:jc w:val="center"/>
            </w:pPr>
            <w:r>
              <w:drawing>
                <wp:inline distT="0" distB="0" distL="0" distR="0">
                  <wp:extent cx="2743200" cy="190500"/>
                  <wp:effectExtent t="0" r="0" b="0" l="0"/>
                  <wp:docPr id="1" name="Ornament" descr="Decorative ornament" title="Orn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43200" cy="190500"/>
                          </a:xfrm>
                          <a:prstGeom prst="rect">
                            <a:avLst/>
                          </a:prstGeom>
                        </pic:spPr>
                      </pic:pic>
                    </a:graphicData>
                  </a:graphic>
                </wp:inline>
              </w:drawing>
            </w:r>
          </w:p>
        </w:tc>
      </w:tr>
    </w:tbl>
    <w:p>
      <w:pPr>
        <w:spacing w:after="0" w:before="0" w:line="20" w:lineRule="exact"/>
      </w:pPr>
      <w:r>
        <w:rPr>
          <w:sz w:val="2"/>
          <w:szCs w:val="2"/>
        </w:rPr>
        <w:t xml:space="preserve"/>
      </w:r>
    </w:p>
    <w:sectPr>
      <w:pgSz w:w="15840" w:h="12240" w:orient="landscape"/>
      <w:pgMar w:top="936" w:right="504" w:bottom="403" w:left="504"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0"/>
        <w:szCs w:val="20"/>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985928e696792416c738ca96b4ef716af1806e8.png"/><Relationship Id="rId8" Type="http://schemas.openxmlformats.org/officeDocument/2006/relationships/image" Target="media/10a5df3ff2530f37125c9e529da8e78589775f85.png"/><Relationship Id="rId9" Type="http://schemas.openxmlformats.org/officeDocument/2006/relationships/image" Target="media/8ca951700a26d2466bc9449fb6bc0c95cc1c7ca6.png"/><Relationship Id="rId10" Type="http://schemas.openxmlformats.org/officeDocument/2006/relationships/image" Target="media/86f97e8ab706ebfa6ca0ae3f94323020516e987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 Catherine O’Brien – Funeral Program</dc:title>
  <dc:creator>Apollo's Templates</dc:creator>
  <dc:description>Free funeral program template from apollostemplates.com</dc:description>
  <cp:lastModifiedBy>Un-named</cp:lastModifiedBy>
  <cp:revision>1</cp:revision>
  <dcterms:created xsi:type="dcterms:W3CDTF">2026-10-05T04:31:25.017Z</dcterms:created>
  <dcterms:modified xsi:type="dcterms:W3CDTF">2026-10-05T04:31:25.017Z</dcterms:modified>
</cp:coreProperties>
</file>

<file path=docProps/custom.xml><?xml version="1.0" encoding="utf-8"?>
<Properties xmlns="http://schemas.openxmlformats.org/officeDocument/2006/custom-properties" xmlns:vt="http://schemas.openxmlformats.org/officeDocument/2006/docPropsVTypes"/>
</file>