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CLEANING SERVICE INVOICE</w:t>
      </w:r>
    </w:p>
    <w:p>
      <w:pPr>
        <w:spacing w:after="160"/>
      </w:pPr>
      <w:r>
        <w:rPr>
          <w:color w:val="64748B"/>
          <w:sz w:val="17"/>
        </w:rPr>
        <w:t>Bill by visit or by service — visits times rate per row.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Service 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Service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Visits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Supplies included unless listed. For recurring service, duplicate the page each period and advance the invoice number.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