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CONSTRUCTION PROGRESS INVOICE</w:t>
      </w:r>
    </w:p>
    <w:p>
      <w:pPr>
        <w:spacing w:after="160"/>
      </w:pPr>
      <w:r>
        <w:rPr>
          <w:color w:val="64748B"/>
          <w:sz w:val="17"/>
        </w:rPr>
        <w:t>Progress billing against the contract: percent complete, less previously billed, less retainage.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Contractor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Application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 / contract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 ending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Owner / GC (bill to)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Contract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374" w:hRule="atLeast"/>
        </w:trPr>
        <w:tc>
          <w:tcPr>
            <w:tcW w:type="dxa" w:w="72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Progress billing</w:t>
            </w:r>
          </w:p>
        </w:tc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Original contract sum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Approved change orders (+/-)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Adjusted contract sum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Percent complete to date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Completed to date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Less previously billed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This period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Less retainage ( ____ %)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NET DUE THIS PERIOD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Retainage releases per the contract, typically at substantial completion. Attach a schedule of values for AIA-style applications.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