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CONTRACTOR INVOICE</w:t>
      </w:r>
    </w:p>
    <w:p>
      <w:pPr>
        <w:spacing w:after="160"/>
      </w:pPr>
      <w:r>
        <w:rPr>
          <w:color w:val="64748B"/>
          <w:sz w:val="17"/>
        </w:rPr>
        <w:t>Labor and materials billed separately, with a markup line for materials.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Job site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MATERIALS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Material / item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Unit cost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Cost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Labor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Materials + markup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Bill materials at cost or with a stated markup — surprises here are how disputes start.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