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DAYCARE INVOICE</w:t>
      </w:r>
    </w:p>
    <w:p>
      <w:pPr>
        <w:spacing w:after="160"/>
      </w:pPr>
      <w:r>
        <w:rPr>
          <w:color w:val="64748B"/>
          <w:sz w:val="17"/>
        </w:rPr>
        <w:t>Per-child billing for the period — days attended times the daily 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Provider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Provider 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Parent / guardian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Provider tax ID / EIN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Notes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Child / charge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Daily 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Late pickup / fees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Parents claiming the child-care credit need the provider's tax ID above — filling it in saves a January phone call.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