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FREELANCE INVOICE</w:t>
      </w:r>
    </w:p>
    <w:p>
      <w:pPr>
        <w:spacing w:after="160"/>
      </w:pPr>
      <w:r>
        <w:rPr>
          <w:color w:val="64748B"/>
          <w:sz w:val="17"/>
        </w:rPr>
        <w:t>Deliverable-based billing with a deposit line and the balance due.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37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Deliverable</w:t>
            </w:r>
          </w:p>
        </w:tc>
        <w:tc>
          <w:tcPr>
            <w:tcW w:type="dxa" w:w="46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4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Less deposit paid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BALANCE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State terms plainly (Net 15, late fee after 30 days). The Terms field above prints on every copy.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