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HANDYMAN INVOICE</w:t>
      </w:r>
    </w:p>
    <w:p>
      <w:pPr>
        <w:spacing w:after="160"/>
      </w:pPr>
      <w:r>
        <w:rPr>
          <w:color w:val="64748B"/>
          <w:sz w:val="17"/>
        </w:rPr>
        <w:t>Service call plus labor and materials — the small-jobs bill.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Job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p>
      <w:pPr>
        <w:spacing w:before="120" w:after="40"/>
      </w:pPr>
      <w:r>
        <w:rPr>
          <w:b/>
          <w:color w:val="2B7FFF"/>
          <w:sz w:val="22"/>
        </w:rPr>
        <w:t>LABOR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MATERIALS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Labor + materials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Service call fee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Small jobs, listed plainly — customers pay faster when they can see what each hour bought.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