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RENT INVOICE</w:t>
      </w:r>
    </w:p>
    <w:p>
      <w:pPr>
        <w:spacing w:after="160"/>
      </w:pPr>
      <w:r>
        <w:rPr>
          <w:color w:val="64748B"/>
          <w:sz w:val="17"/>
        </w:rPr>
        <w:t>A month's rent as a clean bill — rent, any fees, and the total due.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Landlord / manager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Invoice #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Property address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Invoice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Tenant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Rental period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Unit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Due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518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Charge</w:t>
            </w:r>
          </w:p>
        </w:tc>
        <w:tc>
          <w:tcPr>
            <w:tcW w:type="dxa" w:w="288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Period</w:t>
            </w:r>
          </w:p>
        </w:tc>
        <w:tc>
          <w:tcPr>
            <w:tcW w:type="dxa" w:w="273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</w:tr>
      <w:tr>
        <w:trPr>
          <w:trHeight w:val="345" w:hRule="atLeast"/>
        </w:trPr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18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88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73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Subtotal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Late fee (if any)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TOTAL DUE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160"/>
      </w:pPr>
      <w:r>
        <w:rPr>
          <w:color w:val="64748B"/>
          <w:sz w:val="16"/>
        </w:rPr>
        <w:t>Once payment lands, the companion document is a rent receipt — see the payment receipt template.</w:t>
      </w:r>
    </w:p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