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Cambria" w:hAnsi="Cambria" w:cs="Cambria" w:eastAsia="Cambria"/>
          <w:i/>
          <w:color w:val="0A2540"/>
          <w:sz w:val="52"/>
        </w:rPr>
        <w:t>[Agent A]  &amp;  [Agent B]</w:t>
      </w:r>
    </w:p>
    <w:p>
      <w:pPr>
        <w:spacing w:after="480"/>
      </w:pPr>
      <w:r>
        <w:rPr>
          <w:rFonts w:ascii="Calibri" w:hAnsi="Calibri" w:cs="Calibri" w:eastAsia="Calibri"/>
          <w:color w:val="6B7280"/>
          <w:sz w:val="20"/>
          <w:spacing w:val="60"/>
        </w:rPr>
        <w:t>[BROKERAGE]  ·  [CITY]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