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Garamond" w:cs="Garamond" w:eastAsia="Garamond" w:hAnsi="Garamond"/>
          <w:color w:val="6E1423"/>
          <w:sz w:val="42"/>
          <w:szCs w:val="42"/>
        </w:rPr>
        <w:t xml:space="preserve">Elena M. Vásquez, Ph.D.</w:t>
      </w:r>
    </w:p>
    <w:p>
      <w:pPr>
        <w:spacing w:after="50"/>
        <w:jc w:val="center"/>
      </w:pPr>
      <w:r>
        <w:rPr>
          <w:rFonts w:ascii="Garamond" w:cs="Garamond" w:eastAsia="Garamond" w:hAnsi="Garamond"/>
          <w:i/>
          <w:iCs/>
          <w:color w:val="444444"/>
          <w:sz w:val="20"/>
          <w:szCs w:val="20"/>
        </w:rPr>
        <w:t xml:space="preserve">Assistant Professor of Psychology · Cognitive Neuroscience</w:t>
      </w:r>
    </w:p>
    <w:p>
      <w:pPr>
        <w:pBdr>
          <w:bottom w:val="single" w:color="6E1423" w:sz="10" w:space="8"/>
        </w:pBdr>
        <w:spacing w:after="60"/>
        <w:jc w:val="center"/>
      </w:pPr>
      <w:r>
        <w:rPr>
          <w:rFonts w:ascii="Garamond" w:cs="Garamond" w:eastAsia="Garamond" w:hAnsi="Garamond"/>
          <w:color w:val="555555"/>
          <w:sz w:val="19"/>
          <w:szCs w:val="19"/>
        </w:rPr>
        <w:t xml:space="preserve">Department of Psychology, Northwestern University  ·  evasquez@university.edu  ·  (847) 555-0110</w:t>
      </w:r>
    </w:p>
    <w:p>
      <w:pPr>
        <w:spacing w:after="70" w:before="220"/>
      </w:pPr>
      <w:r>
        <w:rPr>
          <w:rFonts w:ascii="Garamond" w:cs="Garamond" w:eastAsia="Garamond" w:hAnsi="Garamond"/>
          <w:b/>
          <w:bCs/>
          <w:color w:val="6E1423"/>
          <w:spacing w:val="40"/>
          <w:sz w:val="20"/>
          <w:szCs w:val="20"/>
        </w:rPr>
        <w:t xml:space="preserve">EDUCATION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b/>
          <w:bCs/>
          <w:color w:val="1C1A18"/>
          <w:sz w:val="20"/>
          <w:szCs w:val="20"/>
        </w:rPr>
        <w:t xml:space="preserve">Ph.D., Cognitive Neuroscience</w:t>
      </w:r>
      <w:r>
        <w:rPr>
          <w:rFonts w:ascii="Garamond" w:cs="Garamond" w:eastAsia="Garamond" w:hAnsi="Garamond"/>
          <w:color w:val="1C1A18"/>
          <w:sz w:val="20"/>
          <w:szCs w:val="20"/>
        </w:rPr>
        <w:t xml:space="preserve"> — University of California, Berkeley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2018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b/>
          <w:bCs/>
          <w:color w:val="1C1A18"/>
          <w:sz w:val="20"/>
          <w:szCs w:val="20"/>
        </w:rPr>
        <w:t xml:space="preserve">M.A., Psychology</w:t>
      </w:r>
      <w:r>
        <w:rPr>
          <w:rFonts w:ascii="Garamond" w:cs="Garamond" w:eastAsia="Garamond" w:hAnsi="Garamond"/>
          <w:color w:val="1C1A18"/>
          <w:sz w:val="20"/>
          <w:szCs w:val="20"/>
        </w:rPr>
        <w:t xml:space="preserve"> — University of California, Berkeley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2014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b/>
          <w:bCs/>
          <w:color w:val="1C1A18"/>
          <w:sz w:val="20"/>
          <w:szCs w:val="20"/>
        </w:rPr>
        <w:t xml:space="preserve">B.S., Neuroscience</w:t>
      </w:r>
      <w:r>
        <w:rPr>
          <w:rFonts w:ascii="Garamond" w:cs="Garamond" w:eastAsia="Garamond" w:hAnsi="Garamond"/>
          <w:color w:val="1C1A18"/>
          <w:sz w:val="20"/>
          <w:szCs w:val="20"/>
        </w:rPr>
        <w:t xml:space="preserve">, </w:t>
      </w:r>
      <w:r>
        <w:rPr>
          <w:rFonts w:ascii="Garamond" w:cs="Garamond" w:eastAsia="Garamond" w:hAnsi="Garamond"/>
          <w:i/>
          <w:iCs/>
          <w:color w:val="1C1A18"/>
          <w:sz w:val="20"/>
          <w:szCs w:val="20"/>
        </w:rPr>
        <w:t xml:space="preserve">summa cum laude</w:t>
      </w:r>
      <w:r>
        <w:rPr>
          <w:rFonts w:ascii="Garamond" w:cs="Garamond" w:eastAsia="Garamond" w:hAnsi="Garamond"/>
          <w:color w:val="1C1A18"/>
          <w:sz w:val="20"/>
          <w:szCs w:val="20"/>
        </w:rPr>
        <w:t xml:space="preserve"> — University of Michigan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2012</w:t>
      </w:r>
    </w:p>
    <w:p>
      <w:pPr>
        <w:spacing w:after="70" w:before="220"/>
      </w:pPr>
      <w:r>
        <w:rPr>
          <w:rFonts w:ascii="Garamond" w:cs="Garamond" w:eastAsia="Garamond" w:hAnsi="Garamond"/>
          <w:b/>
          <w:bCs/>
          <w:color w:val="6E1423"/>
          <w:spacing w:val="40"/>
          <w:sz w:val="20"/>
          <w:szCs w:val="20"/>
        </w:rPr>
        <w:t xml:space="preserve">ACADEMIC APPOINTMENTS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b/>
          <w:bCs/>
          <w:color w:val="1C1A18"/>
          <w:sz w:val="20"/>
          <w:szCs w:val="20"/>
        </w:rPr>
        <w:t xml:space="preserve">Assistant Professor</w:t>
      </w:r>
      <w:r>
        <w:rPr>
          <w:rFonts w:ascii="Garamond" w:cs="Garamond" w:eastAsia="Garamond" w:hAnsi="Garamond"/>
          <w:color w:val="1C1A18"/>
          <w:sz w:val="20"/>
          <w:szCs w:val="20"/>
        </w:rPr>
        <w:t xml:space="preserve">, Dept. of Psychology — Northwestern University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2021 – Present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b/>
          <w:bCs/>
          <w:color w:val="1C1A18"/>
          <w:sz w:val="20"/>
          <w:szCs w:val="20"/>
        </w:rPr>
        <w:t xml:space="preserve">Postdoctoral Fellow</w:t>
      </w:r>
      <w:r>
        <w:rPr>
          <w:rFonts w:ascii="Garamond" w:cs="Garamond" w:eastAsia="Garamond" w:hAnsi="Garamond"/>
          <w:color w:val="1C1A18"/>
          <w:sz w:val="20"/>
          <w:szCs w:val="20"/>
        </w:rPr>
        <w:t xml:space="preserve">, Helen Wills Neuroscience Institute — UC Berkeley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2018 – 2021</w:t>
      </w:r>
    </w:p>
    <w:p>
      <w:pPr>
        <w:spacing w:after="70" w:before="220"/>
      </w:pPr>
      <w:r>
        <w:rPr>
          <w:rFonts w:ascii="Garamond" w:cs="Garamond" w:eastAsia="Garamond" w:hAnsi="Garamond"/>
          <w:b/>
          <w:bCs/>
          <w:color w:val="6E1423"/>
          <w:spacing w:val="40"/>
          <w:sz w:val="20"/>
          <w:szCs w:val="20"/>
        </w:rPr>
        <w:t xml:space="preserve">SELECTED PUBLICATIONS</w:t>
      </w:r>
    </w:p>
    <w:p>
      <w:pPr>
        <w:spacing w:after="80"/>
        <w:ind w:left="300" w:hanging="300"/>
      </w:pPr>
      <w:r>
        <w:rPr>
          <w:rFonts w:ascii="Garamond" w:cs="Garamond" w:eastAsia="Garamond" w:hAnsi="Garamond"/>
          <w:i w:val="false"/>
          <w:iCs w:val="false"/>
          <w:color w:val="1C1A18"/>
          <w:sz w:val="19"/>
          <w:szCs w:val="19"/>
        </w:rPr>
        <w:t xml:space="preserve">Vásquez, E. M., &amp; Lindgren, P. (2023). Attentional gating in working memory under cognitive load. </w:t>
      </w:r>
      <w:r>
        <w:rPr>
          <w:rFonts w:ascii="Garamond" w:cs="Garamond" w:eastAsia="Garamond" w:hAnsi="Garamond"/>
          <w:i/>
          <w:iCs/>
          <w:color w:val="1C1A18"/>
          <w:sz w:val="19"/>
          <w:szCs w:val="19"/>
        </w:rPr>
        <w:t xml:space="preserve">Journal of Cognitive Neuroscience, 35</w:t>
      </w:r>
      <w:r>
        <w:rPr>
          <w:rFonts w:ascii="Garamond" w:cs="Garamond" w:eastAsia="Garamond" w:hAnsi="Garamond"/>
          <w:i w:val="false"/>
          <w:iCs w:val="false"/>
          <w:color w:val="1C1A18"/>
          <w:sz w:val="19"/>
          <w:szCs w:val="19"/>
        </w:rPr>
        <w:t xml:space="preserve">(4), 612–630.</w:t>
      </w:r>
    </w:p>
    <w:p>
      <w:pPr>
        <w:spacing w:after="80"/>
        <w:ind w:left="300" w:hanging="300"/>
      </w:pPr>
      <w:r>
        <w:rPr>
          <w:rFonts w:ascii="Garamond" w:cs="Garamond" w:eastAsia="Garamond" w:hAnsi="Garamond"/>
          <w:i w:val="false"/>
          <w:iCs w:val="false"/>
          <w:color w:val="1C1A18"/>
          <w:sz w:val="19"/>
          <w:szCs w:val="19"/>
        </w:rPr>
        <w:t xml:space="preserve">Vásquez, E. M., Cho, H., &amp; Ramirez, D. (2022). Neural correlates of predictive coding in visual perception. </w:t>
      </w:r>
      <w:r>
        <w:rPr>
          <w:rFonts w:ascii="Garamond" w:cs="Garamond" w:eastAsia="Garamond" w:hAnsi="Garamond"/>
          <w:i/>
          <w:iCs/>
          <w:color w:val="1C1A18"/>
          <w:sz w:val="19"/>
          <w:szCs w:val="19"/>
        </w:rPr>
        <w:t xml:space="preserve">Nature Human Behaviour, 6</w:t>
      </w:r>
      <w:r>
        <w:rPr>
          <w:rFonts w:ascii="Garamond" w:cs="Garamond" w:eastAsia="Garamond" w:hAnsi="Garamond"/>
          <w:i w:val="false"/>
          <w:iCs w:val="false"/>
          <w:color w:val="1C1A18"/>
          <w:sz w:val="19"/>
          <w:szCs w:val="19"/>
        </w:rPr>
        <w:t xml:space="preserve">, 1180–1192.</w:t>
      </w:r>
    </w:p>
    <w:p>
      <w:pPr>
        <w:spacing w:after="80"/>
        <w:ind w:left="300" w:hanging="300"/>
      </w:pPr>
      <w:r>
        <w:rPr>
          <w:rFonts w:ascii="Garamond" w:cs="Garamond" w:eastAsia="Garamond" w:hAnsi="Garamond"/>
          <w:i w:val="false"/>
          <w:iCs w:val="false"/>
          <w:color w:val="1C1A18"/>
          <w:sz w:val="19"/>
          <w:szCs w:val="19"/>
        </w:rPr>
        <w:t xml:space="preserve">Vásquez, E. M., et al. (2020). Distributed representations of uncertainty in prefrontal cortex. </w:t>
      </w:r>
      <w:r>
        <w:rPr>
          <w:rFonts w:ascii="Garamond" w:cs="Garamond" w:eastAsia="Garamond" w:hAnsi="Garamond"/>
          <w:i/>
          <w:iCs/>
          <w:color w:val="1C1A18"/>
          <w:sz w:val="19"/>
          <w:szCs w:val="19"/>
        </w:rPr>
        <w:t xml:space="preserve">Neuron, 107</w:t>
      </w:r>
      <w:r>
        <w:rPr>
          <w:rFonts w:ascii="Garamond" w:cs="Garamond" w:eastAsia="Garamond" w:hAnsi="Garamond"/>
          <w:i w:val="false"/>
          <w:iCs w:val="false"/>
          <w:color w:val="1C1A18"/>
          <w:sz w:val="19"/>
          <w:szCs w:val="19"/>
        </w:rPr>
        <w:t xml:space="preserve">(3), 545–558.</w:t>
      </w:r>
    </w:p>
    <w:p>
      <w:pPr>
        <w:spacing w:after="70" w:before="220"/>
      </w:pPr>
      <w:r>
        <w:rPr>
          <w:rFonts w:ascii="Garamond" w:cs="Garamond" w:eastAsia="Garamond" w:hAnsi="Garamond"/>
          <w:b/>
          <w:bCs/>
          <w:color w:val="6E1423"/>
          <w:spacing w:val="40"/>
          <w:sz w:val="20"/>
          <w:szCs w:val="20"/>
        </w:rPr>
        <w:t xml:space="preserve">GRANTS &amp; FELLOWSHIPS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color w:val="1C1A18"/>
          <w:sz w:val="19"/>
          <w:szCs w:val="19"/>
        </w:rPr>
        <w:t xml:space="preserve">NIH R01 — “Predictive mechanisms of selective attention” (PI)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2022 – 2027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color w:val="1C1A18"/>
          <w:sz w:val="19"/>
          <w:szCs w:val="19"/>
        </w:rPr>
        <w:t xml:space="preserve">NSF CAREER Award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2023 – 2028</w:t>
      </w:r>
    </w:p>
    <w:p>
      <w:pPr>
        <w:tabs>
          <w:tab w:val="right" w:pos="10080"/>
        </w:tabs>
        <w:spacing w:after="30"/>
      </w:pPr>
      <w:r>
        <w:rPr>
          <w:rFonts w:ascii="Garamond" w:cs="Garamond" w:eastAsia="Garamond" w:hAnsi="Garamond"/>
          <w:color w:val="1C1A18"/>
          <w:sz w:val="19"/>
          <w:szCs w:val="19"/>
        </w:rPr>
        <w:t xml:space="preserve">NRSA Postdoctoral Fellowship, NIMH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2019 – 2021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00"/>
            </w:tcMar>
            <w:vAlign w:val="top"/>
          </w:tcPr>
          <w:p>
            <w:pPr>
              <w:spacing w:after="70" w:before="220"/>
            </w:pPr>
            <w:r>
              <w:rPr>
                <w:rFonts w:ascii="Garamond" w:cs="Garamond" w:eastAsia="Garamond" w:hAnsi="Garamond"/>
                <w:b/>
                <w:bCs/>
                <w:color w:val="6E1423"/>
                <w:spacing w:val="40"/>
                <w:sz w:val="20"/>
                <w:szCs w:val="20"/>
              </w:rPr>
              <w:t xml:space="preserve">TEACHING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i w:val="false"/>
                <w:iCs w:val="false"/>
                <w:color w:val="1C1A18"/>
                <w:sz w:val="19"/>
                <w:szCs w:val="19"/>
              </w:rPr>
              <w:t xml:space="preserve">Cognitive Neuroscience (undergraduate lecture)</w:t>
            </w:r>
            <w:r>
              <w:rPr>
                <w:rFonts w:ascii="Garamond" w:cs="Garamond" w:eastAsia="Garamond" w:hAnsi="Garamond"/>
                <w:i w:val="false"/>
                <w:iCs w:val="false"/>
                <w:color w:val="1C1A18"/>
                <w:sz w:val="19"/>
                <w:szCs w:val="19"/>
              </w:rPr>
              <w:br/>
              <w:t xml:space="preserve">Seminar: Attention &amp; Memory (graduate)</w:t>
            </w:r>
            <w:r>
              <w:rPr>
                <w:rFonts w:ascii="Garamond" w:cs="Garamond" w:eastAsia="Garamond" w:hAnsi="Garamond"/>
                <w:i w:val="false"/>
                <w:iCs w:val="false"/>
                <w:color w:val="1C1A18"/>
                <w:sz w:val="19"/>
                <w:szCs w:val="19"/>
              </w:rPr>
              <w:br/>
              <w:t xml:space="preserve">Statistics for Behavioral Science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00"/>
              <w:bottom w:type="dxa" w:w="40"/>
              <w:right w:type="dxa" w:w="0"/>
            </w:tcMar>
            <w:vAlign w:val="top"/>
          </w:tcPr>
          <w:p>
            <w:pPr>
              <w:spacing w:after="70" w:before="220"/>
            </w:pPr>
            <w:r>
              <w:rPr>
                <w:rFonts w:ascii="Garamond" w:cs="Garamond" w:eastAsia="Garamond" w:hAnsi="Garamond"/>
                <w:b/>
                <w:bCs/>
                <w:color w:val="6E1423"/>
                <w:spacing w:val="40"/>
                <w:sz w:val="20"/>
                <w:szCs w:val="20"/>
              </w:rPr>
              <w:t xml:space="preserve">SERVICE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1C1A18"/>
                <w:sz w:val="19"/>
                <w:szCs w:val="19"/>
              </w:rPr>
              <w:t xml:space="preserve">Reviewer — </w:t>
            </w:r>
            <w:r>
              <w:rPr>
                <w:rFonts w:ascii="Garamond" w:cs="Garamond" w:eastAsia="Garamond" w:hAnsi="Garamond"/>
                <w:i/>
                <w:iCs/>
                <w:color w:val="1C1A18"/>
                <w:sz w:val="19"/>
                <w:szCs w:val="19"/>
              </w:rPr>
              <w:t xml:space="preserve">Neuron</w:t>
            </w:r>
            <w:r>
              <w:rPr>
                <w:rFonts w:ascii="Garamond" w:cs="Garamond" w:eastAsia="Garamond" w:hAnsi="Garamond"/>
                <w:color w:val="1C1A18"/>
                <w:sz w:val="19"/>
                <w:szCs w:val="19"/>
              </w:rPr>
              <w:t xml:space="preserve">, </w:t>
            </w:r>
            <w:r>
              <w:rPr>
                <w:rFonts w:ascii="Garamond" w:cs="Garamond" w:eastAsia="Garamond" w:hAnsi="Garamond"/>
                <w:i/>
                <w:iCs/>
                <w:color w:val="1C1A18"/>
                <w:sz w:val="19"/>
                <w:szCs w:val="19"/>
              </w:rPr>
              <w:t xml:space="preserve">Nature Human Behaviour</w:t>
            </w:r>
            <w:r>
              <w:rPr>
                <w:rFonts w:ascii="Garamond" w:cs="Garamond" w:eastAsia="Garamond" w:hAnsi="Garamond"/>
                <w:color w:val="1C1A18"/>
                <w:sz w:val="19"/>
                <w:szCs w:val="19"/>
              </w:rPr>
              <w:br/>
              <w:t xml:space="preserve">Program Committee, CogSci 2024</w:t>
            </w:r>
            <w:r>
              <w:rPr>
                <w:rFonts w:ascii="Garamond" w:cs="Garamond" w:eastAsia="Garamond" w:hAnsi="Garamond"/>
                <w:color w:val="1C1A18"/>
                <w:sz w:val="19"/>
                <w:szCs w:val="19"/>
              </w:rPr>
              <w:br/>
              <w:t xml:space="preserve">Faculty Mentor, NU Bridge Program</w:t>
            </w:r>
          </w:p>
        </w:tc>
      </w:tr>
    </w:tbl>
    <w:sectPr>
      <w:pgSz w:w="12240" w:h="15840" w:orient="portrait"/>
      <w:pgMar w:top="840" w:right="1080" w:bottom="7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1C1A1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2026-06-15T18:53:23.705Z</dcterms:created>
  <dcterms:modified xsi:type="dcterms:W3CDTF">2026-06-15T18:53:23.705Z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