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Garamond" w:cs="Garamond" w:eastAsia="Garamond" w:hAnsi="Garamond"/>
          <w:color w:val="6A2230"/>
          <w:sz w:val="51"/>
          <w:szCs w:val="51"/>
        </w:rPr>
        <w:t xml:space="preserve">Robert Nakamura, Ph.D.</w:t>
      </w:r>
    </w:p>
    <w:p>
      <w:pPr>
        <w:spacing w:after="30"/>
      </w:pPr>
      <w:r>
        <w:rPr>
          <w:rFonts w:ascii="Garamond" w:cs="Garamond" w:eastAsia="Garamond" w:hAnsi="Garamond"/>
          <w:i/>
          <w:iCs/>
          <w:color w:val="4A4446"/>
          <w:sz w:val="20"/>
          <w:szCs w:val="20"/>
        </w:rPr>
        <w:t xml:space="preserve">Associate Professor of History · Modern East Asia</w:t>
      </w:r>
    </w:p>
    <w:p>
      <w:pPr>
        <w:pBdr>
          <w:bottom w:val="single" w:color="6A2230" w:sz="14" w:space="6"/>
        </w:pBdr>
        <w:spacing w:after="40"/>
      </w:pPr>
      <w:r>
        <w:rPr>
          <w:rFonts w:ascii="Calibri" w:cs="Calibri" w:eastAsia="Calibri" w:hAnsi="Calibri"/>
          <w:color w:val="6A6266"/>
          <w:sz w:val="18"/>
          <w:szCs w:val="18"/>
        </w:rPr>
        <w:t xml:space="preserve">Department of History, Boston University  ·  r.nakamura@university.edu  ·  (617) 555-0124</w:t>
      </w:r>
    </w:p>
    <w:p>
      <w:pPr>
        <w:spacing w:after="70" w:before="200"/>
      </w:pPr>
      <w:r>
        <w:rPr>
          <w:rFonts w:ascii="Calibri" w:cs="Calibri" w:eastAsia="Calibri" w:hAnsi="Calibri"/>
          <w:b/>
          <w:bCs/>
          <w:color w:val="6A2230"/>
          <w:spacing w:val="40"/>
          <w:sz w:val="18"/>
          <w:szCs w:val="18"/>
        </w:rPr>
        <w:t xml:space="preserve">ACADEMIC APPOINTMENTS</w:t>
      </w:r>
    </w:p>
    <w:p>
      <w:pPr>
        <w:tabs>
          <w:tab w:val="right" w:pos="10080"/>
        </w:tabs>
        <w:spacing w:after="40"/>
      </w:pPr>
      <w:r>
        <w:rPr>
          <w:rFonts w:ascii="Garamond" w:cs="Garamond" w:eastAsia="Garamond" w:hAnsi="Garamond"/>
          <w:b/>
          <w:bCs/>
          <w:color w:val="211C1D"/>
          <w:sz w:val="20"/>
          <w:szCs w:val="20"/>
        </w:rPr>
        <w:t xml:space="preserve">Associate Professor of History</w:t>
      </w:r>
      <w:r>
        <w:rPr>
          <w:rFonts w:ascii="Garamond" w:cs="Garamond" w:eastAsia="Garamond" w:hAnsi="Garamond"/>
          <w:color w:val="211C1D"/>
          <w:sz w:val="20"/>
          <w:szCs w:val="20"/>
        </w:rPr>
        <w:t xml:space="preserve"> — Boston University</w:t>
      </w:r>
      <w:r>
        <w:rPr>
          <w:rFonts w:ascii="Garamond" w:cs="Garamond" w:eastAsia="Garamond" w:hAnsi="Garamond"/>
          <w:color w:val="666666"/>
          <w:sz w:val="20"/>
          <w:szCs w:val="20"/>
        </w:rPr>
        <w:t xml:space="preserve">	2019 – Present</w:t>
      </w:r>
    </w:p>
    <w:p>
      <w:pPr>
        <w:tabs>
          <w:tab w:val="right" w:pos="10080"/>
        </w:tabs>
        <w:spacing w:after="40"/>
      </w:pPr>
      <w:r>
        <w:rPr>
          <w:rFonts w:ascii="Garamond" w:cs="Garamond" w:eastAsia="Garamond" w:hAnsi="Garamond"/>
          <w:b/>
          <w:bCs/>
          <w:color w:val="211C1D"/>
          <w:sz w:val="20"/>
          <w:szCs w:val="20"/>
        </w:rPr>
        <w:t xml:space="preserve">Assistant Professor of History</w:t>
      </w:r>
      <w:r>
        <w:rPr>
          <w:rFonts w:ascii="Garamond" w:cs="Garamond" w:eastAsia="Garamond" w:hAnsi="Garamond"/>
          <w:color w:val="211C1D"/>
          <w:sz w:val="20"/>
          <w:szCs w:val="20"/>
        </w:rPr>
        <w:t xml:space="preserve"> — University of Vermont</w:t>
      </w:r>
      <w:r>
        <w:rPr>
          <w:rFonts w:ascii="Garamond" w:cs="Garamond" w:eastAsia="Garamond" w:hAnsi="Garamond"/>
          <w:color w:val="666666"/>
          <w:sz w:val="20"/>
          <w:szCs w:val="20"/>
        </w:rPr>
        <w:t xml:space="preserve">	2013 – 2019</w:t>
      </w:r>
    </w:p>
    <w:p>
      <w:pPr>
        <w:spacing w:after="70" w:before="200"/>
      </w:pPr>
      <w:r>
        <w:rPr>
          <w:rFonts w:ascii="Calibri" w:cs="Calibri" w:eastAsia="Calibri" w:hAnsi="Calibri"/>
          <w:b/>
          <w:bCs/>
          <w:color w:val="6A2230"/>
          <w:spacing w:val="40"/>
          <w:sz w:val="18"/>
          <w:szCs w:val="18"/>
        </w:rPr>
        <w:t xml:space="preserve">EDUCATION</w:t>
      </w:r>
    </w:p>
    <w:p>
      <w:pPr>
        <w:tabs>
          <w:tab w:val="right" w:pos="10080"/>
        </w:tabs>
        <w:spacing w:after="40"/>
      </w:pPr>
      <w:r>
        <w:rPr>
          <w:rFonts w:ascii="Garamond" w:cs="Garamond" w:eastAsia="Garamond" w:hAnsi="Garamond"/>
          <w:b/>
          <w:bCs/>
          <w:color w:val="211C1D"/>
          <w:sz w:val="20"/>
          <w:szCs w:val="20"/>
        </w:rPr>
        <w:t xml:space="preserve">Ph.D., History</w:t>
      </w:r>
      <w:r>
        <w:rPr>
          <w:rFonts w:ascii="Garamond" w:cs="Garamond" w:eastAsia="Garamond" w:hAnsi="Garamond"/>
          <w:color w:val="211C1D"/>
          <w:sz w:val="20"/>
          <w:szCs w:val="20"/>
        </w:rPr>
        <w:t xml:space="preserve"> — Stanford University</w:t>
      </w:r>
      <w:r>
        <w:rPr>
          <w:rFonts w:ascii="Garamond" w:cs="Garamond" w:eastAsia="Garamond" w:hAnsi="Garamond"/>
          <w:color w:val="666666"/>
          <w:sz w:val="20"/>
          <w:szCs w:val="20"/>
        </w:rPr>
        <w:t xml:space="preserve">	2013</w:t>
      </w:r>
    </w:p>
    <w:p>
      <w:pPr>
        <w:tabs>
          <w:tab w:val="right" w:pos="10080"/>
        </w:tabs>
        <w:spacing w:after="40"/>
      </w:pPr>
      <w:r>
        <w:rPr>
          <w:rFonts w:ascii="Garamond" w:cs="Garamond" w:eastAsia="Garamond" w:hAnsi="Garamond"/>
          <w:b/>
          <w:bCs/>
          <w:color w:val="211C1D"/>
          <w:sz w:val="20"/>
          <w:szCs w:val="20"/>
        </w:rPr>
        <w:t xml:space="preserve">B.A., History</w:t>
      </w:r>
      <w:r>
        <w:rPr>
          <w:rFonts w:ascii="Garamond" w:cs="Garamond" w:eastAsia="Garamond" w:hAnsi="Garamond"/>
          <w:color w:val="211C1D"/>
          <w:sz w:val="20"/>
          <w:szCs w:val="20"/>
        </w:rPr>
        <w:t xml:space="preserve">, </w:t>
      </w:r>
      <w:r>
        <w:rPr>
          <w:rFonts w:ascii="Garamond" w:cs="Garamond" w:eastAsia="Garamond" w:hAnsi="Garamond"/>
          <w:i/>
          <w:iCs/>
          <w:color w:val="211C1D"/>
          <w:sz w:val="20"/>
          <w:szCs w:val="20"/>
        </w:rPr>
        <w:t xml:space="preserve">summa cum laude</w:t>
      </w:r>
      <w:r>
        <w:rPr>
          <w:rFonts w:ascii="Garamond" w:cs="Garamond" w:eastAsia="Garamond" w:hAnsi="Garamond"/>
          <w:color w:val="211C1D"/>
          <w:sz w:val="20"/>
          <w:szCs w:val="20"/>
        </w:rPr>
        <w:t xml:space="preserve"> — UCLA</w:t>
      </w:r>
      <w:r>
        <w:rPr>
          <w:rFonts w:ascii="Garamond" w:cs="Garamond" w:eastAsia="Garamond" w:hAnsi="Garamond"/>
          <w:color w:val="666666"/>
          <w:sz w:val="20"/>
          <w:szCs w:val="20"/>
        </w:rPr>
        <w:t xml:space="preserve">	2007</w:t>
      </w:r>
    </w:p>
    <w:p>
      <w:pPr>
        <w:spacing w:after="70" w:before="200"/>
      </w:pPr>
      <w:r>
        <w:rPr>
          <w:rFonts w:ascii="Calibri" w:cs="Calibri" w:eastAsia="Calibri" w:hAnsi="Calibri"/>
          <w:b/>
          <w:bCs/>
          <w:color w:val="6A2230"/>
          <w:spacing w:val="40"/>
          <w:sz w:val="18"/>
          <w:szCs w:val="18"/>
        </w:rPr>
        <w:t xml:space="preserve">SELECTED PUBLICATIONS</w:t>
      </w:r>
    </w:p>
    <w:p>
      <w:pPr>
        <w:spacing w:after="80"/>
        <w:ind w:left="300" w:hanging="300"/>
      </w:pPr>
      <w:r>
        <w:rPr>
          <w:rFonts w:ascii="Garamond" w:cs="Garamond" w:eastAsia="Garamond" w:hAnsi="Garamond"/>
          <w:i w:val="false"/>
          <w:iCs w:val="false"/>
          <w:color w:val="211C1D"/>
          <w:sz w:val="20"/>
          <w:szCs w:val="20"/>
        </w:rPr>
        <w:t xml:space="preserve">Nakamura, R. (2021). </w:t>
      </w:r>
      <w:r>
        <w:rPr>
          <w:rFonts w:ascii="Garamond" w:cs="Garamond" w:eastAsia="Garamond" w:hAnsi="Garamond"/>
          <w:i/>
          <w:iCs/>
          <w:color w:val="211C1D"/>
          <w:sz w:val="20"/>
          <w:szCs w:val="20"/>
        </w:rPr>
        <w:t xml:space="preserve">Crossing the Strait: Migration and Memory in Postwar Japan.</w:t>
      </w:r>
      <w:r>
        <w:rPr>
          <w:rFonts w:ascii="Garamond" w:cs="Garamond" w:eastAsia="Garamond" w:hAnsi="Garamond"/>
          <w:i w:val="false"/>
          <w:iCs w:val="false"/>
          <w:color w:val="211C1D"/>
          <w:sz w:val="20"/>
          <w:szCs w:val="20"/>
        </w:rPr>
        <w:t xml:space="preserve"> Harvard University Press.</w:t>
      </w:r>
    </w:p>
    <w:p>
      <w:pPr>
        <w:spacing w:after="80"/>
        <w:ind w:left="300" w:hanging="300"/>
      </w:pPr>
      <w:r>
        <w:rPr>
          <w:rFonts w:ascii="Garamond" w:cs="Garamond" w:eastAsia="Garamond" w:hAnsi="Garamond"/>
          <w:i w:val="false"/>
          <w:iCs w:val="false"/>
          <w:color w:val="211C1D"/>
          <w:sz w:val="20"/>
          <w:szCs w:val="20"/>
        </w:rPr>
        <w:t xml:space="preserve">Nakamura, R. (2018). Borderlands of empire: Trade and identity on the Sea of Japan. </w:t>
      </w:r>
      <w:r>
        <w:rPr>
          <w:rFonts w:ascii="Garamond" w:cs="Garamond" w:eastAsia="Garamond" w:hAnsi="Garamond"/>
          <w:i/>
          <w:iCs/>
          <w:color w:val="211C1D"/>
          <w:sz w:val="20"/>
          <w:szCs w:val="20"/>
        </w:rPr>
        <w:t xml:space="preserve">Journal of Asian Studies, 77</w:t>
      </w:r>
      <w:r>
        <w:rPr>
          <w:rFonts w:ascii="Garamond" w:cs="Garamond" w:eastAsia="Garamond" w:hAnsi="Garamond"/>
          <w:i w:val="false"/>
          <w:iCs w:val="false"/>
          <w:color w:val="211C1D"/>
          <w:sz w:val="20"/>
          <w:szCs w:val="20"/>
        </w:rPr>
        <w:t xml:space="preserve">(2), 312–339.</w:t>
      </w:r>
    </w:p>
    <w:p>
      <w:pPr>
        <w:spacing w:after="80"/>
        <w:ind w:left="300" w:hanging="300"/>
      </w:pPr>
      <w:r>
        <w:rPr>
          <w:rFonts w:ascii="Garamond" w:cs="Garamond" w:eastAsia="Garamond" w:hAnsi="Garamond"/>
          <w:i w:val="false"/>
          <w:iCs w:val="false"/>
          <w:color w:val="211C1D"/>
          <w:sz w:val="20"/>
          <w:szCs w:val="20"/>
        </w:rPr>
        <w:t xml:space="preserve">Nakamura, R. (2015). Remembering occupation. </w:t>
      </w:r>
      <w:r>
        <w:rPr>
          <w:rFonts w:ascii="Garamond" w:cs="Garamond" w:eastAsia="Garamond" w:hAnsi="Garamond"/>
          <w:i/>
          <w:iCs/>
          <w:color w:val="211C1D"/>
          <w:sz w:val="20"/>
          <w:szCs w:val="20"/>
        </w:rPr>
        <w:t xml:space="preserve">Pacific Historical Review, 84</w:t>
      </w:r>
      <w:r>
        <w:rPr>
          <w:rFonts w:ascii="Garamond" w:cs="Garamond" w:eastAsia="Garamond" w:hAnsi="Garamond"/>
          <w:i w:val="false"/>
          <w:iCs w:val="false"/>
          <w:color w:val="211C1D"/>
          <w:sz w:val="20"/>
          <w:szCs w:val="20"/>
        </w:rPr>
        <w:t xml:space="preserve">(4), 540–566.</w:t>
      </w:r>
    </w:p>
    <w:p>
      <w:pPr>
        <w:spacing w:after="70" w:before="200"/>
      </w:pPr>
      <w:r>
        <w:rPr>
          <w:rFonts w:ascii="Calibri" w:cs="Calibri" w:eastAsia="Calibri" w:hAnsi="Calibri"/>
          <w:b/>
          <w:bCs/>
          <w:color w:val="6A2230"/>
          <w:spacing w:val="40"/>
          <w:sz w:val="18"/>
          <w:szCs w:val="18"/>
        </w:rPr>
        <w:t xml:space="preserve">COURSES TAUGHT</w:t>
      </w:r>
    </w:p>
    <w:p>
      <w:pPr>
        <w:spacing w:after="60"/>
      </w:pPr>
      <w:r>
        <w:rPr>
          <w:rFonts w:ascii="Garamond" w:cs="Garamond" w:eastAsia="Garamond" w:hAnsi="Garamond"/>
          <w:color w:val="33302F"/>
          <w:sz w:val="20"/>
          <w:szCs w:val="20"/>
        </w:rPr>
        <w:t xml:space="preserve">Modern East Asian History · The Pacific War · Historical Methods · Senior Thesis Seminar · Empire &amp; Memory (graduate seminar)</w:t>
      </w:r>
    </w:p>
    <w:tbl>
      <w:tblPr>
        <w:tblW w:type="dxa" w:w="100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300"/>
            </w:tcMar>
            <w:vAlign w:val="top"/>
          </w:tcPr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6A2230"/>
                <w:spacing w:val="40"/>
                <w:sz w:val="18"/>
                <w:szCs w:val="18"/>
              </w:rPr>
              <w:t xml:space="preserve">GRANTS &amp; HONORS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3302F"/>
                <w:sz w:val="20"/>
                <w:szCs w:val="20"/>
              </w:rPr>
              <w:t xml:space="preserve">ACLS Fellowship · 2020</w:t>
            </w:r>
            <w:r>
              <w:rPr>
                <w:rFonts w:ascii="Garamond" w:cs="Garamond" w:eastAsia="Garamond" w:hAnsi="Garamond"/>
                <w:color w:val="33302F"/>
                <w:sz w:val="20"/>
                <w:szCs w:val="20"/>
              </w:rPr>
              <w:br/>
              <w:t xml:space="preserve">Fulbright Research Grant, Japan · 2016</w:t>
            </w:r>
            <w:r>
              <w:rPr>
                <w:rFonts w:ascii="Garamond" w:cs="Garamond" w:eastAsia="Garamond" w:hAnsi="Garamond"/>
                <w:color w:val="33302F"/>
                <w:sz w:val="20"/>
                <w:szCs w:val="20"/>
              </w:rPr>
              <w:br/>
              <w:t xml:space="preserve">BU Distinguished Teaching Award · 2022</w:t>
            </w:r>
          </w:p>
        </w:tc>
        <w:tc>
          <w:tcPr>
            <w:tcW w:type="dxa" w:w="5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300"/>
              <w:bottom w:type="dxa" w:w="40"/>
              <w:right w:type="dxa" w:w="0"/>
            </w:tcMar>
            <w:vAlign w:val="top"/>
          </w:tcPr>
          <w:p>
            <w:pPr>
              <w:spacing w:after="70" w:before="200"/>
            </w:pPr>
            <w:r>
              <w:rPr>
                <w:rFonts w:ascii="Calibri" w:cs="Calibri" w:eastAsia="Calibri" w:hAnsi="Calibri"/>
                <w:b/>
                <w:bCs/>
                <w:color w:val="6A2230"/>
                <w:spacing w:val="40"/>
                <w:sz w:val="18"/>
                <w:szCs w:val="18"/>
              </w:rPr>
              <w:t xml:space="preserve">SERVICE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3302F"/>
                <w:sz w:val="20"/>
                <w:szCs w:val="20"/>
              </w:rPr>
              <w:t xml:space="preserve">Editorial Board, </w:t>
            </w:r>
            <w:r>
              <w:rPr>
                <w:rFonts w:ascii="Garamond" w:cs="Garamond" w:eastAsia="Garamond" w:hAnsi="Garamond"/>
                <w:i/>
                <w:iCs/>
                <w:color w:val="33302F"/>
                <w:sz w:val="20"/>
                <w:szCs w:val="20"/>
              </w:rPr>
              <w:t xml:space="preserve">Journal of Asian Studies</w:t>
            </w:r>
          </w:p>
          <w:p>
            <w:pPr>
              <w:spacing w:after="20"/>
            </w:pPr>
            <w:r>
              <w:rPr>
                <w:rFonts w:ascii="Garamond" w:cs="Garamond" w:eastAsia="Garamond" w:hAnsi="Garamond"/>
                <w:color w:val="33302F"/>
                <w:sz w:val="20"/>
                <w:szCs w:val="20"/>
              </w:rPr>
              <w:t xml:space="preserve">Chair, Undergraduate Curriculum Committee</w:t>
            </w:r>
          </w:p>
          <w:p>
            <w:r>
              <w:rPr>
                <w:rFonts w:ascii="Garamond" w:cs="Garamond" w:eastAsia="Garamond" w:hAnsi="Garamond"/>
                <w:color w:val="33302F"/>
                <w:sz w:val="20"/>
                <w:szCs w:val="20"/>
              </w:rPr>
              <w:t xml:space="preserve">Faculty Advisor, History Honor Society</w:t>
            </w:r>
          </w:p>
        </w:tc>
      </w:tr>
    </w:tbl>
    <w:sectPr>
      <w:pgSz w:w="12240" w:h="15840" w:orient="portrait"/>
      <w:pgMar w:top="840" w:right="1080" w:bottom="76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cs="Garamond" w:eastAsia="Garamond" w:hAnsi="Garamond"/>
        <w:color w:val="211C1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2026-06-15T19:54:00.029Z</dcterms:created>
  <dcterms:modified xsi:type="dcterms:W3CDTF">2026-06-15T19:54:00.029Z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