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0"/>
        <w:gridCol w:w="7950"/>
      </w:tblGrid>
      <w:tr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6661" w:color="auto" w:val="clear"/>
            <w:tcMar>
              <w:top w:type="dxa" w:w="600"/>
              <w:left w:type="dxa" w:w="430"/>
              <w:bottom w:type="dxa" w:w="560"/>
              <w:right w:type="dxa" w:w="360"/>
            </w:tcMar>
            <w:vAlign w:val="top"/>
          </w:tcPr>
          <w:tbl>
            <w:tblPr>
              <w:tblW w:type="dxa" w:w="11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80"/>
            </w:tblGrid>
            <w:tr>
              <w:trPr>
                <w:trHeight w:val="1180" w:hRule="atLeast"/>
              </w:trPr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6661"/>
                      <w:sz w:val="41"/>
                      <w:szCs w:val="41"/>
                    </w:rPr>
                    <w:t xml:space="preserve">DO</w:t>
                  </w:r>
                </w:p>
              </w:tc>
            </w:tr>
          </w:tbl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FD9CF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t xml:space="preserve">Columbus, OH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(614) 555-0178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daniel.okafor@email.com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FD9CF"/>
                <w:spacing w:val="40"/>
                <w:sz w:val="17"/>
                <w:szCs w:val="17"/>
              </w:rPr>
              <w:t xml:space="preserve">SPECIALTIES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t xml:space="preserve">IEP Development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Differentiated Instruction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Behavior Intervention (BIP)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Co-Teaching &amp; Inclusion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Assistive Technology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Progress Monitoring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FD9CF"/>
                <w:spacing w:val="40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t xml:space="preserve">Ohio Intervention Specialist (K–12)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Autism Spectrum Endorsement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Crisis Prevention (CPI)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FD9CF"/>
                <w:spacing w:val="40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t xml:space="preserve">M.Ed., Special Education</w:t>
            </w:r>
            <w:r>
              <w:rPr>
                <w:rFonts w:ascii="Calibri" w:cs="Calibri" w:eastAsia="Calibri" w:hAnsi="Calibri"/>
                <w:color w:val="DCEFE9"/>
                <w:sz w:val="19"/>
                <w:szCs w:val="19"/>
              </w:rPr>
              <w:br/>
              <w:t xml:space="preserve">The Ohio State University · 2013</w:t>
            </w:r>
          </w:p>
        </w:tc>
        <w:tc>
          <w:tcPr>
            <w:tcW w:type="dxa" w:w="79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D2B29"/>
                <w:sz w:val="48"/>
                <w:szCs w:val="48"/>
              </w:rPr>
              <w:t xml:space="preserve">Daniel Okafor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A6661"/>
                <w:spacing w:val="50"/>
                <w:sz w:val="20"/>
                <w:szCs w:val="20"/>
              </w:rPr>
              <w:t xml:space="preserve">INTERVENTION SPECIALIST</w:t>
            </w:r>
          </w:p>
          <w:p>
            <w:pPr>
              <w:pBdr>
                <w:bottom w:val="single" w:color="D4EBE6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A6661"/>
                <w:spacing w:val="30"/>
                <w:sz w:val="20"/>
                <w:szCs w:val="20"/>
              </w:rPr>
              <w:t xml:space="preserve">PROFILE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423F"/>
                <w:sz w:val="20"/>
                <w:szCs w:val="20"/>
              </w:rPr>
              <w:t xml:space="preserve">Dedicated intervention specialist with 9 years supporting students with diverse learning needs. I write and drive meaningful IEPs, build inclusive co-taught classrooms, and help every learner access grade-level content with the right supports.</w:t>
            </w:r>
          </w:p>
          <w:p>
            <w:pPr>
              <w:pBdr>
                <w:bottom w:val="single" w:color="D4EBE6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A6661"/>
                <w:spacing w:val="30"/>
                <w:sz w:val="20"/>
                <w:szCs w:val="20"/>
              </w:rPr>
              <w:t xml:space="preserve">EXPERIENCE</w:t>
            </w:r>
          </w:p>
          <w:p>
            <w:pPr>
              <w:tabs>
                <w:tab w:val="right" w:pos="675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B29"/>
                <w:sz w:val="21"/>
                <w:szCs w:val="21"/>
              </w:rPr>
              <w:t xml:space="preserve">Intervention Specialist</w:t>
            </w:r>
            <w:r>
              <w:rPr>
                <w:rFonts w:ascii="Calibri" w:cs="Calibri" w:eastAsia="Calibri" w:hAnsi="Calibri"/>
                <w:b/>
                <w:bCs/>
                <w:color w:val="8A958F"/>
                <w:sz w:val="17"/>
                <w:szCs w:val="17"/>
              </w:rPr>
              <w:t xml:space="preserve">	2018 – Present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A6661"/>
                <w:sz w:val="19"/>
                <w:szCs w:val="19"/>
              </w:rPr>
              <w:t xml:space="preserve">Riverside Middle School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Manage a caseload of 18 students with IEPs across learning, emotional, and developmental needs.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Co-teach inclusion ELA and math; raised IEP goal attainment to 91%.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Lead the building's MTSS team and train staff on accommodations and assistive tech.</w:t>
            </w:r>
          </w:p>
          <w:p>
            <w:pPr>
              <w:spacing w:after="110"/>
            </w:pPr>
          </w:p>
          <w:p>
            <w:pPr>
              <w:tabs>
                <w:tab w:val="right" w:pos="675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B29"/>
                <w:sz w:val="21"/>
                <w:szCs w:val="21"/>
              </w:rPr>
              <w:t xml:space="preserve">Special Education Teacher</w:t>
            </w:r>
            <w:r>
              <w:rPr>
                <w:rFonts w:ascii="Calibri" w:cs="Calibri" w:eastAsia="Calibri" w:hAnsi="Calibri"/>
                <w:b/>
                <w:bCs/>
                <w:color w:val="8A958F"/>
                <w:sz w:val="17"/>
                <w:szCs w:val="17"/>
              </w:rPr>
              <w:t xml:space="preserve">	2015 – 2018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A6661"/>
                <w:sz w:val="19"/>
                <w:szCs w:val="19"/>
              </w:rPr>
              <w:t xml:space="preserve">Oakwood Elementary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Ran a resource room and self-contained setting; designed individualized behavior plans.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Partnered with related-service providers on speech, OT, and counseling goals.</w:t>
            </w:r>
          </w:p>
          <w:p>
            <w:pPr>
              <w:spacing w:after="110"/>
            </w:pPr>
          </w:p>
          <w:p>
            <w:pPr>
              <w:tabs>
                <w:tab w:val="right" w:pos="675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B29"/>
                <w:sz w:val="21"/>
                <w:szCs w:val="21"/>
              </w:rPr>
              <w:t xml:space="preserve">Paraprofessional</w:t>
            </w:r>
            <w:r>
              <w:rPr>
                <w:rFonts w:ascii="Calibri" w:cs="Calibri" w:eastAsia="Calibri" w:hAnsi="Calibri"/>
                <w:b/>
                <w:bCs/>
                <w:color w:val="8A958F"/>
                <w:sz w:val="17"/>
                <w:szCs w:val="17"/>
              </w:rPr>
              <w:t xml:space="preserve">	2013 – 2015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A6661"/>
                <w:sz w:val="19"/>
                <w:szCs w:val="19"/>
              </w:rPr>
              <w:t xml:space="preserve">Bright Futures Academy — Dayton,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Supported students 1:1 and in small groups under the direction of lead teachers.</w:t>
            </w:r>
          </w:p>
          <w:p>
            <w:pPr>
              <w:spacing w:after="110"/>
            </w:pPr>
          </w:p>
          <w:p>
            <w:pPr>
              <w:pBdr>
                <w:bottom w:val="single" w:color="D4EBE6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A6661"/>
                <w:spacing w:val="30"/>
                <w:sz w:val="20"/>
                <w:szCs w:val="20"/>
              </w:rPr>
              <w:t xml:space="preserve">HIGHLIGHTS</w:t>
            </w:r>
          </w:p>
          <w:p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District trainer on Universal Design for Learning · authored inclusion toolkit adopted building-wide.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D2B2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2026-06-15T19:54:00.012Z</dcterms:created>
  <dcterms:modified xsi:type="dcterms:W3CDTF">2026-06-15T19:54:00.012Z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