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3D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3"/>
                      <w:szCs w:val="53"/>
                    </w:rPr>
                    <w:t xml:space="preserve">Patricia Nguyen, CPA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FC7BD"/>
                      <w:spacing w:val="22"/>
                      <w:sz w:val="18"/>
                      <w:szCs w:val="18"/>
                    </w:rPr>
                    <w:t xml:space="preserve">CORPORATE CONTROLLER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BCD6D1"/>
                      <w:sz w:val="17"/>
                      <w:szCs w:val="17"/>
                    </w:rPr>
                    <w:t xml:space="preserve">Dallas, TX</w:t>
                  </w:r>
                  <w:r>
                    <w:rPr>
                      <w:rFonts w:ascii="Calibri" w:cs="Calibri" w:eastAsia="Calibri" w:hAnsi="Calibri"/>
                      <w:color w:val="BCD6D1"/>
                      <w:sz w:val="17"/>
                      <w:szCs w:val="17"/>
                    </w:rPr>
                    <w:br/>
                    <w:t xml:space="preserve">(214) 555-0118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arcsexgcuoxwyz0ftx5ie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p.nguyen@email.com</w:t>
                    </w:r>
                  </w:hyperlink>
                  <w:r>
                    <w:rPr>
                      <w:rFonts w:ascii="Calibri" w:cs="Calibri" w:eastAsia="Calibri" w:hAnsi="Calibri"/>
                      <w:color w:val="BCD6D1"/>
                      <w:sz w:val="17"/>
                      <w:szCs w:val="17"/>
                    </w:rPr>
                    <w:br/>
                    <w:t xml:space="preserve">in/patricianguyen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3D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355557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55557" w:sz="4"/>
                  </w:tcBorders>
                  <w:shd w:fill="1F3A3D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$220M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8FC7BD"/>
                      <w:spacing w:val="5"/>
                      <w:sz w:val="12"/>
                      <w:szCs w:val="12"/>
                    </w:rPr>
                    <w:t xml:space="preserve">REVENUE OVERSEEN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55557" w:sz="4"/>
                  </w:tcBorders>
                  <w:shd w:fill="1F3A3D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10→4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8FC7BD"/>
                      <w:spacing w:val="5"/>
                      <w:sz w:val="12"/>
                      <w:szCs w:val="12"/>
                    </w:rPr>
                    <w:t xml:space="preserve">CLOSE DAYS CUT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55557" w:sz="4"/>
                  </w:tcBorders>
                  <w:shd w:fill="1F3A3D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8FC7BD"/>
                      <w:spacing w:val="5"/>
                      <w:sz w:val="12"/>
                      <w:szCs w:val="12"/>
                    </w:rPr>
                    <w:t xml:space="preserve">TEAM MANAGED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1F3A3D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$1.8M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8FC7BD"/>
                      <w:spacing w:val="5"/>
                      <w:sz w:val="12"/>
                      <w:szCs w:val="12"/>
                    </w:rPr>
                    <w:t xml:space="preserve">ANNUAL SAVINGS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A444A"/>
          <w:sz w:val="20"/>
          <w:szCs w:val="20"/>
        </w:rPr>
        <w:t xml:space="preserve">Corporate controller who runs accounting like a tight ship — accurate books, fast closes, and audit-ready reporting that leadership trusts. Fifteen years building teams and controls across a $220M company. I modernize the close, strengthen internal controls, and turn raw ledgers into decisions the C-suite can act on.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1F3A3D"/>
          <w:spacing w:val="24"/>
          <w:sz w:val="17"/>
          <w:szCs w:val="17"/>
        </w:rPr>
        <w:t xml:space="preserve">FUNCTION OWNERSHIP</w:t>
      </w: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1F3A3D" w:sz="18"/>
              <w:bottom w:val="none" w:color="FFFFFF" w:sz="0"/>
              <w:right w:val="none" w:color="FFFFFF" w:sz="0"/>
            </w:tcBorders>
            <w:shd w:fill="F1F6F5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Financial Reporting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GAAP statements · board &amp; investor packages · consolidations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1F3A3D" w:sz="18"/>
              <w:bottom w:val="none" w:color="FFFFFF" w:sz="0"/>
              <w:right w:val="none" w:color="FFFFFF" w:sz="0"/>
            </w:tcBorders>
            <w:shd w:fill="F1F6F5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Close &amp; Controls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Month-end close · SOX · reconciliation governance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1F3A3D" w:sz="18"/>
              <w:bottom w:val="none" w:color="FFFFFF" w:sz="0"/>
              <w:right w:val="none" w:color="FFFFFF" w:sz="0"/>
            </w:tcBorders>
            <w:shd w:fill="F1F6F5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Audit &amp; Tax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External audit lead · tax coordination · compliance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1F3A3D" w:sz="18"/>
              <w:bottom w:val="none" w:color="FFFFFF" w:sz="0"/>
              <w:right w:val="none" w:color="FFFFFF" w:sz="0"/>
            </w:tcBorders>
            <w:shd w:fill="F1F6F5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Team &amp; Systems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12 staff · ERP implementation · process automation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1F3A3D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2E"/>
                <w:sz w:val="20"/>
                <w:szCs w:val="20"/>
              </w:rPr>
              <w:t xml:space="preserve">Corporate Controller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A6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F3A3D"/>
          <w:sz w:val="18"/>
          <w:szCs w:val="18"/>
        </w:rPr>
        <w:t xml:space="preserve">Topgolf — Dallas, TX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Direct all accounting for a $220M company — reporting, close, AP/AR, payroll, and a 12-person team.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Cut the monthly close from 10 days to 4 by re-engineering workflows and implementing NetSuite.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Identified $1.8M in annual savings through vendor consolidation and process automation.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2E"/>
                <w:sz w:val="20"/>
                <w:szCs w:val="20"/>
              </w:rPr>
              <w:t xml:space="preserve">Accounting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A6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F3A3D"/>
          <w:sz w:val="18"/>
          <w:szCs w:val="18"/>
        </w:rPr>
        <w:t xml:space="preserve">AT&amp;T — Dallas, TX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Managed a 6-person GL team and the consolidated close for three business units.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Led a successful ERP migration with zero disruption to reporting deadlines.</w:t>
      </w:r>
    </w:p>
    <w:p>
      <w:pPr>
        <w:spacing w:after="60"/>
      </w:pPr>
    </w:p>
    <w:tbl>
      <w:tblPr>
        <w:tblW w:type="dxa" w:w="10740"/>
        <w:tblBorders>
          <w:top w:val="single" w:color="E3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625"/>
        <w:gridCol w:w="5115"/>
      </w:tblGrid>
      <w:tr>
        <w:tc>
          <w:tcPr>
            <w:tcW w:type="dxa" w:w="5625"/>
            <w:tcBorders>
              <w:top w:val="none" w:color="FFFFFF" w:sz="0"/>
              <w:left w:val="none" w:color="FFFFFF" w:sz="0"/>
              <w:bottom w:val="none" w:color="FFFFFF" w:sz="0"/>
              <w:right w:val="single" w:color="E3EAE8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3D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3A444A"/>
                <w:sz w:val="18"/>
                <w:szCs w:val="18"/>
              </w:rPr>
              <w:t xml:space="preserve">NetSuite · SAP · Oracle · Hyperion · BlackLine · Advanced Excel</w:t>
            </w:r>
          </w:p>
        </w:tc>
        <w:tc>
          <w:tcPr>
            <w:tcW w:type="dxa" w:w="511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3D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CPA — Texas · CMA</w:t>
            </w:r>
          </w:p>
          <w:p>
            <w:r>
              <w:rPr>
                <w:rFonts w:ascii="Calibri" w:cs="Calibri" w:eastAsia="Calibri" w:hAnsi="Calibri"/>
                <w:color w:val="3A444A"/>
                <w:sz w:val="18"/>
                <w:szCs w:val="18"/>
              </w:rPr>
              <w:t xml:space="preserve">MBA, Finance — SMU Cox</w:t>
            </w:r>
          </w:p>
        </w:tc>
      </w:tr>
    </w:tbl>
    <w:p>
      <w:pPr>
        <w:spacing w:before="0"/>
        <w:ind w:left="750"/>
      </w:pP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4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rcsexgcuoxwyz0ftx5ie" Type="http://schemas.openxmlformats.org/officeDocument/2006/relationships/hyperlink" Target="mailto:p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2026-06-18T20:48:16.292Z</dcterms:created>
  <dcterms:modified xsi:type="dcterms:W3CDTF">2026-06-18T20:48:16.292Z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