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double" w:color="2F5A43" w:sz="8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8241D"/>
                <w:sz w:val="57"/>
                <w:szCs w:val="57"/>
              </w:rPr>
              <w:t xml:space="preserve">Emily Tran, CPA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5A43"/>
                <w:spacing w:val="24"/>
                <w:sz w:val="18"/>
                <w:szCs w:val="18"/>
              </w:rPr>
              <w:t xml:space="preserve">SENIOR STAFF ACCOUNTANT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t xml:space="preserve">Columbus, OH</w:t>
            </w:r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br/>
              <w:t xml:space="preserve">(614) 555-0129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5cxok31srg6gqsg0ai-e">
              <w:r>
                <w:rPr>
                  <w:rFonts w:ascii="Calibri" w:cs="Calibri" w:eastAsia="Calibri" w:hAnsi="Calibri"/>
                  <w:color w:val="2F5A43"/>
                  <w:sz w:val="17"/>
                  <w:szCs w:val="17"/>
                  <w:u w:val="single"/>
                </w:rPr>
                <w:t xml:space="preserve">emily.tran@email.com</w:t>
              </w:r>
            </w:hyperlink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br/>
              <w:t xml:space="preserve">in/emilytran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single" w:color="D7E0DA" w:sz="4"/>
          <w:left w:val="single" w:color="D7E0DA" w:sz="4"/>
          <w:bottom w:val="single" w:color="D7E0DA" w:sz="4"/>
          <w:right w:val="single" w:color="D7E0DA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7E0DA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F5A43"/>
                <w:sz w:val="30"/>
                <w:szCs w:val="30"/>
              </w:rPr>
              <w:t xml:space="preserve">3-Day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MONTH-END CLOSE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7E0DA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F5A43"/>
                <w:sz w:val="30"/>
                <w:szCs w:val="30"/>
              </w:rPr>
              <w:t xml:space="preserve">$40M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ACCOUNTS RECONCILED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7E0DA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F5A43"/>
                <w:sz w:val="30"/>
                <w:szCs w:val="30"/>
              </w:rPr>
              <w:t xml:space="preserve">100%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AUDIT-CLEAN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F5A43"/>
                <w:sz w:val="30"/>
                <w:szCs w:val="30"/>
              </w:rPr>
              <w:t xml:space="preserve">5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GAAP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C453E"/>
          <w:sz w:val="20"/>
          <w:szCs w:val="20"/>
        </w:rPr>
        <w:t xml:space="preserve">Detail-driven senior accountant who owns the month-end close and keeps the books audit-ready. Five years across the full general ledger — reconciliations, journal entries, accruals, and financial reporting under U.S. GAAP. I tighten processes, catch variances early, and close faster every quarter.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2F5A43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Senior Staff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F5A43"/>
          <w:sz w:val="18"/>
          <w:szCs w:val="18"/>
        </w:rPr>
        <w:t xml:space="preserve">Cardinal Health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Own the month-end close for three entities, cutting the cycle from 8 days to 3 through reconciliation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Reconcile $40M in balance-sheet accounts monthly with zero unexplained variances.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Prepare journal entries, accruals, and GAAP financial statements; supported four clean external audits.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Staff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F5A43"/>
          <w:sz w:val="18"/>
          <w:szCs w:val="18"/>
        </w:rPr>
        <w:t xml:space="preserve">Nationwide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Managed AP/AR and bank reconciliations across 12 accounts, maintaining 100% on-time close.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Migrated reconciliations into NetSuite, eliminating 20 hours of manual work each month.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Accounting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F5A43"/>
          <w:sz w:val="18"/>
          <w:szCs w:val="18"/>
        </w:rPr>
        <w:t xml:space="preserve">Plante Moran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Assisted senior staff with audit testing, workpapers, and journal-entry review.</w:t>
      </w:r>
    </w:p>
    <w:p>
      <w:pPr>
        <w:spacing w:after="60"/>
      </w:pPr>
    </w:p>
    <w:tbl>
      <w:tblPr>
        <w:tblW w:type="dxa" w:w="10680"/>
        <w:tblBorders>
          <w:top w:val="single" w:color="E3E8E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899"/>
        <w:gridCol w:w="3390"/>
        <w:gridCol w:w="3391"/>
      </w:tblGrid>
      <w:tr>
        <w:tc>
          <w:tcPr>
            <w:tcW w:type="dxa" w:w="3899"/>
            <w:tcBorders>
              <w:top w:val="none" w:color="FFFFFF" w:sz="0"/>
              <w:left w:val="none" w:color="FFFFFF" w:sz="0"/>
              <w:bottom w:val="none" w:color="FFFFFF" w:sz="0"/>
              <w:right w:val="single" w:color="E3E8E4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F5A43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3C453E"/>
                <w:sz w:val="18"/>
                <w:szCs w:val="18"/>
              </w:rPr>
              <w:t xml:space="preserve">NetSuite · SAP · QuickBooks · Advanced Excel (Pivot, VLOOKUP) · BlackLine</w:t>
            </w:r>
          </w:p>
        </w:tc>
        <w:tc>
          <w:tcPr>
            <w:tcW w:type="dxa" w:w="3390"/>
            <w:tcBorders>
              <w:top w:val="none" w:color="FFFFFF" w:sz="0"/>
              <w:left w:val="none" w:color="FFFFFF" w:sz="0"/>
              <w:bottom w:val="none" w:color="FFFFFF" w:sz="0"/>
              <w:right w:val="single" w:color="E3E8E4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F5A43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18241D"/>
                <w:sz w:val="18"/>
                <w:szCs w:val="18"/>
              </w:rPr>
              <w:t xml:space="preserve">CPA — Ohio (2022)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8241D"/>
                <w:sz w:val="18"/>
                <w:szCs w:val="18"/>
              </w:rPr>
              <w:t xml:space="preserve">B.S. Accounting</w:t>
            </w:r>
            <w:r>
              <w:rPr>
                <w:rFonts w:ascii="Calibri" w:cs="Calibri" w:eastAsia="Calibri" w:hAnsi="Calibri"/>
                <w:color w:val="7D8A82"/>
                <w:sz w:val="17"/>
                <w:szCs w:val="17"/>
              </w:rPr>
              <w:br/>
              <w:t xml:space="preserve">Ohio State University</w:t>
            </w:r>
          </w:p>
        </w:tc>
        <w:tc>
          <w:tcPr>
            <w:tcW w:type="dxa" w:w="339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F5A43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C453E"/>
                <w:sz w:val="18"/>
                <w:szCs w:val="18"/>
              </w:rPr>
              <w:t xml:space="preserve">Month-End Close · Reconciliations · GAAP · Journal Entries · Financial Reporting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5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5cxok31srg6gqsg0ai-e" Type="http://schemas.openxmlformats.org/officeDocument/2006/relationships/hyperlink" Target="mailto:emily.tr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2026-06-18T20:48:16.237Z</dcterms:created>
  <dcterms:modified xsi:type="dcterms:W3CDTF">2026-06-18T20:48:16.241Z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