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73A2E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David Okafor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D2E4DC"/>
                <w:spacing w:val="14"/>
                <w:sz w:val="17"/>
                <w:szCs w:val="17"/>
              </w:rPr>
              <w:t xml:space="preserve">AUDIT MANAGER, CPA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t xml:space="preserve">Charlotte, NC</w:t>
            </w: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br/>
              <w:t xml:space="preserve">(704) 555-0162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_p7ioabsoiln1naigd6d">
              <w:r>
                <w:rPr>
                  <w:rFonts w:ascii="Calibri" w:cs="Calibri" w:eastAsia="Calibri" w:hAnsi="Calibri"/>
                  <w:color w:val="A9C4B8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br/>
              <w:t xml:space="preserve">in/davidokafor</w:t>
            </w:r>
          </w:p>
          <w:p>
            <w:pPr>
              <w:pBdr>
                <w:top w:val="single" w:color="335C4C" w:sz="4"/>
                <w:left w:val="single" w:color="335C4C" w:sz="4"/>
                <w:right w:val="single" w:color="335C4C" w:sz="4"/>
              </w:pBdr>
              <w:shd w:fill="1E4A3A" w:color="auto" w:val="clear"/>
              <w:spacing w:after="0" w:before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2A35E"/>
                <w:spacing w:val="16"/>
                <w:sz w:val="14"/>
                <w:szCs w:val="14"/>
              </w:rPr>
              <w:br/>
              <w:t xml:space="preserve">LICENSURE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335C4C" w:sz="4"/>
                <w:right w:val="single" w:color="335C4C" w:sz="4"/>
              </w:pBdr>
              <w:shd w:fill="1E4A3A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Certified Public Accountant</w:t>
            </w:r>
          </w:p>
          <w:p>
            <w:pPr>
              <w:pBdr>
                <w:left w:val="single" w:color="335C4C" w:sz="4"/>
                <w:right w:val="single" w:color="335C4C" w:sz="4"/>
              </w:pBdr>
              <w:shd w:fill="1E4A3A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t xml:space="preserve">North Carolina · Lic. #41027</w:t>
            </w:r>
          </w:p>
          <w:p>
            <w:pPr>
              <w:pBdr>
                <w:bottom w:val="single" w:color="335C4C" w:sz="3"/>
                <w:left w:val="single" w:color="335C4C" w:sz="4"/>
                <w:right w:val="single" w:color="335C4C" w:sz="4"/>
              </w:pBdr>
              <w:shd w:fill="1E4A3A" w:color="auto" w:val="clear"/>
              <w:spacing w:after="120"/>
              <w:ind w:left="160" w:right="160"/>
            </w:pP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t xml:space="preserve">Active &amp; in good standing</w:t>
            </w:r>
          </w:p>
          <w:p>
            <w:pPr>
              <w:pBdr>
                <w:bottom w:val="single" w:color="335C4C" w:sz="4"/>
                <w:left w:val="single" w:color="335C4C" w:sz="4"/>
                <w:right w:val="single" w:color="335C4C" w:sz="4"/>
              </w:pBdr>
              <w:shd w:fill="1E4A3A" w:color="auto" w:val="clear"/>
              <w:spacing w:after="0" w:before="100"/>
              <w:ind w:left="160" w:right="160"/>
            </w:pP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t xml:space="preserve">CFE — Certified Fraud Examiner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AREAS OF PRACTICE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2E4DC"/>
                <w:sz w:val="18"/>
                <w:szCs w:val="18"/>
              </w:rPr>
              <w:t xml:space="preserve">External Audit · SOX 404 · Internal Controls · Risk Assessment · GAAP / GAAS · Financial Reporting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SYSTEMS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2E4DC"/>
                <w:sz w:val="18"/>
                <w:szCs w:val="18"/>
              </w:rPr>
              <w:t xml:space="preserve">CaseWare · IDEA · TeamMate · SAP · Oracle · Advanced Excel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M.Acc., Accounting</w:t>
            </w: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br/>
              <w:t xml:space="preserve">Wake Forest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Accounting</w:t>
            </w:r>
            <w:r>
              <w:rPr>
                <w:rFonts w:ascii="Calibri" w:cs="Calibri" w:eastAsia="Calibri" w:hAnsi="Calibri"/>
                <w:color w:val="A9C4B8"/>
                <w:sz w:val="17"/>
                <w:szCs w:val="17"/>
              </w:rPr>
              <w:br/>
              <w:t xml:space="preserve">UNC Charlotte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04F"/>
                <w:sz w:val="20"/>
                <w:szCs w:val="20"/>
              </w:rPr>
              <w:t xml:space="preserve">CPA and audit manager with nine years in public accounting, including six at a Big 4 firm. I lead financial-statement audits for public and private clients, design SOX controls, and mentor staff. Known for clean files, on-time delivery, and finding the issues that matter before they become restatements.</w:t>
            </w:r>
          </w:p>
          <w:tbl>
            <w:tblPr>
              <w:tblW w:type="dxa" w:w="7060"/>
              <w:tblBorders>
                <w:top w:val="single" w:color="E0EDE7" w:sz="4"/>
                <w:left w:val="none"/>
                <w:bottom w:val="single" w:color="E0EDE7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65"/>
              <w:gridCol w:w="1765"/>
              <w:gridCol w:w="1765"/>
              <w:gridCol w:w="1765"/>
            </w:tblGrid>
            <w:tr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73A2E"/>
                      <w:sz w:val="27"/>
                      <w:szCs w:val="27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AUDITS LED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73A2E"/>
                      <w:sz w:val="27"/>
                      <w:szCs w:val="27"/>
                    </w:rPr>
                    <w:t xml:space="preserve">$2B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LARGEST CLIENT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73A2E"/>
                      <w:sz w:val="27"/>
                      <w:szCs w:val="27"/>
                    </w:rPr>
                    <w:t xml:space="preserve">14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STAFF MENTORED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73A2E"/>
                      <w:sz w:val="27"/>
                      <w:szCs w:val="27"/>
                    </w:rPr>
                    <w:t xml:space="preserve">Zero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RESTATEMENTS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173A2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73A2E"/>
                <w:sz w:val="18"/>
                <w:szCs w:val="18"/>
              </w:rPr>
              <w:t xml:space="preserve">Deloitte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Lead financial-statement audits for 8–10 public and private clients a year, up to $2B in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Manage engagement teams of up to 6, delivering every audit on budget and on deadline.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Designed SOX 404 control frameworks that reduced client deficiencies by 45%.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Senior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73A2E"/>
                <w:sz w:val="18"/>
                <w:szCs w:val="18"/>
              </w:rPr>
              <w:t xml:space="preserve">KPMG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Ran fieldwork for manufacturing and financial-services clients across full audit cycles.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Promoted a year early for consistently top-rated engagement reviews.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73A2E"/>
                <w:sz w:val="18"/>
                <w:szCs w:val="18"/>
              </w:rPr>
              <w:t xml:space="preserve">Cherry Bekaert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Performed substantive testing, confirmations, and workpaper documentation across 20+ engagements.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_p7ioabsoiln1naigd6d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2026-06-18T20:48:16.281Z</dcterms:created>
  <dcterms:modified xsi:type="dcterms:W3CDTF">2026-06-18T20:48:16.281Z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