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B333B" w:color="auto" w:val="clear"/>
            <w:tcMar>
              <w:top w:type="dxa" w:w="640"/>
              <w:left w:type="dxa" w:w="430"/>
              <w:bottom w:type="dxa" w:w="560"/>
              <w:right w:type="dxa" w:w="40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2"/>
                <w:szCs w:val="42"/>
              </w:rPr>
              <w:t xml:space="preserve">David Okafor</w:t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b/>
                <w:bCs/>
                <w:color w:val="DDE2E7"/>
                <w:spacing w:val="14"/>
                <w:sz w:val="17"/>
                <w:szCs w:val="17"/>
              </w:rPr>
              <w:t xml:space="preserve">AUDIT MANAGER, CPA</w:t>
            </w:r>
          </w:p>
          <w:p>
            <w:pPr>
              <w:spacing w:after="200"/>
            </w:pPr>
            <w:r>
              <w:rPr>
                <w:rFonts w:ascii="Calibri" w:cs="Calibri" w:eastAsia="Calibri" w:hAnsi="Calibri"/>
                <w:color w:val="AEB6BE"/>
                <w:sz w:val="17"/>
                <w:szCs w:val="17"/>
              </w:rPr>
              <w:t xml:space="preserve">Charlotte, NC</w:t>
            </w:r>
            <w:r>
              <w:rPr>
                <w:rFonts w:ascii="Calibri" w:cs="Calibri" w:eastAsia="Calibri" w:hAnsi="Calibri"/>
                <w:color w:val="AEB6BE"/>
                <w:sz w:val="17"/>
                <w:szCs w:val="17"/>
              </w:rPr>
              <w:br/>
              <w:t xml:space="preserve">(704) 555-0162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up4tup65rzbsm92tldc8t">
              <w:r>
                <w:rPr>
                  <w:rFonts w:ascii="Calibri" w:cs="Calibri" w:eastAsia="Calibri" w:hAnsi="Calibri"/>
                  <w:color w:val="AEB6BE"/>
                  <w:sz w:val="17"/>
                  <w:szCs w:val="17"/>
                  <w:u w:val="single"/>
                </w:rPr>
                <w:t xml:space="preserve">d.okafor@email.com</w:t>
              </w:r>
            </w:hyperlink>
            <w:r>
              <w:rPr>
                <w:rFonts w:ascii="Calibri" w:cs="Calibri" w:eastAsia="Calibri" w:hAnsi="Calibri"/>
                <w:color w:val="AEB6BE"/>
                <w:sz w:val="17"/>
                <w:szCs w:val="17"/>
              </w:rPr>
              <w:br/>
              <w:t xml:space="preserve">in/davidokafor</w:t>
            </w:r>
          </w:p>
          <w:p>
            <w:pPr>
              <w:pBdr>
                <w:top w:val="single" w:color="4A545E" w:sz="4"/>
                <w:left w:val="single" w:color="4A545E" w:sz="4"/>
                <w:right w:val="single" w:color="4A545E" w:sz="4"/>
              </w:pBdr>
              <w:shd w:fill="353F49" w:color="auto" w:val="clear"/>
              <w:spacing w:after="0" w:before="0"/>
              <w:ind w:left="160" w:right="160"/>
            </w:pPr>
            <w:r>
              <w:rPr>
                <w:sz w:val="8"/>
                <w:szCs w:val="8"/>
              </w:rPr>
              <w:t xml:space="preserve"/>
            </w:r>
            <w:r>
              <w:rPr>
                <w:rFonts w:ascii="Calibri" w:cs="Calibri" w:eastAsia="Calibri" w:hAnsi="Calibri"/>
                <w:b/>
                <w:bCs/>
                <w:color w:val="C29B5E"/>
                <w:spacing w:val="16"/>
                <w:sz w:val="14"/>
                <w:szCs w:val="14"/>
              </w:rPr>
              <w:br/>
              <w:t xml:space="preserve">LICENSURE</w:t>
            </w:r>
            <w:r>
              <w:rPr>
                <w:sz w:val="4"/>
                <w:szCs w:val="4"/>
              </w:rPr>
              <w:br/>
              <w:t xml:space="preserve"/>
            </w:r>
          </w:p>
          <w:p>
            <w:pPr>
              <w:pBdr>
                <w:left w:val="single" w:color="4A545E" w:sz="4"/>
                <w:right w:val="single" w:color="4A545E" w:sz="4"/>
              </w:pBdr>
              <w:shd w:fill="353F49" w:color="auto" w:val="clear"/>
              <w:spacing w:after="0"/>
              <w:ind w:left="160" w:right="1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Certified Public Accountant</w:t>
            </w:r>
          </w:p>
          <w:p>
            <w:pPr>
              <w:pBdr>
                <w:left w:val="single" w:color="4A545E" w:sz="4"/>
                <w:right w:val="single" w:color="4A545E" w:sz="4"/>
              </w:pBdr>
              <w:shd w:fill="353F49" w:color="auto" w:val="clear"/>
              <w:spacing w:after="0"/>
              <w:ind w:left="160" w:right="160"/>
            </w:pPr>
            <w:r>
              <w:rPr>
                <w:rFonts w:ascii="Calibri" w:cs="Calibri" w:eastAsia="Calibri" w:hAnsi="Calibri"/>
                <w:color w:val="AEB6BE"/>
                <w:sz w:val="17"/>
                <w:szCs w:val="17"/>
              </w:rPr>
              <w:t xml:space="preserve">North Carolina · Lic. #41027</w:t>
            </w:r>
          </w:p>
          <w:p>
            <w:pPr>
              <w:pBdr>
                <w:bottom w:val="single" w:color="4A545E" w:sz="3"/>
                <w:left w:val="single" w:color="4A545E" w:sz="4"/>
                <w:right w:val="single" w:color="4A545E" w:sz="4"/>
              </w:pBdr>
              <w:shd w:fill="353F49" w:color="auto" w:val="clear"/>
              <w:spacing w:after="120"/>
              <w:ind w:left="160" w:right="160"/>
            </w:pPr>
            <w:r>
              <w:rPr>
                <w:rFonts w:ascii="Calibri" w:cs="Calibri" w:eastAsia="Calibri" w:hAnsi="Calibri"/>
                <w:color w:val="AEB6BE"/>
                <w:sz w:val="17"/>
                <w:szCs w:val="17"/>
              </w:rPr>
              <w:t xml:space="preserve">Active &amp; in good standing</w:t>
            </w:r>
          </w:p>
          <w:p>
            <w:pPr>
              <w:pBdr>
                <w:bottom w:val="single" w:color="4A545E" w:sz="4"/>
                <w:left w:val="single" w:color="4A545E" w:sz="4"/>
                <w:right w:val="single" w:color="4A545E" w:sz="4"/>
              </w:pBdr>
              <w:shd w:fill="353F49" w:color="auto" w:val="clear"/>
              <w:spacing w:after="0" w:before="100"/>
              <w:ind w:left="160" w:right="160"/>
            </w:pPr>
            <w:r>
              <w:rPr>
                <w:rFonts w:ascii="Calibri" w:cs="Calibri" w:eastAsia="Calibri" w:hAnsi="Calibri"/>
                <w:color w:val="AEB6BE"/>
                <w:sz w:val="17"/>
                <w:szCs w:val="17"/>
              </w:rPr>
              <w:t xml:space="preserve">CFE — Certified Fraud Examiner</w:t>
            </w:r>
            <w:r>
              <w:rPr>
                <w:sz w:val="8"/>
                <w:szCs w:val="8"/>
              </w:rPr>
              <w:br/>
              <w:t xml:space="preserve"/>
            </w:r>
          </w:p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C29B5E"/>
                <w:spacing w:val="18"/>
                <w:sz w:val="15"/>
                <w:szCs w:val="15"/>
              </w:rPr>
              <w:t xml:space="preserve">AREAS OF PRACTICE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DDE2E7"/>
                <w:sz w:val="18"/>
                <w:szCs w:val="18"/>
              </w:rPr>
              <w:t xml:space="preserve">External Audit · SOX 404 · Internal Controls · Risk Assessment · GAAP / GAAS · Financial Reporting</w:t>
            </w:r>
          </w:p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C29B5E"/>
                <w:spacing w:val="18"/>
                <w:sz w:val="15"/>
                <w:szCs w:val="15"/>
              </w:rPr>
              <w:t xml:space="preserve">SYSTEMS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DDE2E7"/>
                <w:sz w:val="18"/>
                <w:szCs w:val="18"/>
              </w:rPr>
              <w:t xml:space="preserve">CaseWare · IDEA · TeamMate · SAP · Oracle · Advanced Excel</w:t>
            </w:r>
          </w:p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C29B5E"/>
                <w:spacing w:val="18"/>
                <w:sz w:val="15"/>
                <w:szCs w:val="15"/>
              </w:rPr>
              <w:t xml:space="preserve">EDUCATION</w:t>
            </w:r>
          </w:p>
          <w:p>
            <w:pPr>
              <w:spacing w:after="8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M.Acc., Accounting</w:t>
            </w:r>
            <w:r>
              <w:rPr>
                <w:rFonts w:ascii="Calibri" w:cs="Calibri" w:eastAsia="Calibri" w:hAnsi="Calibri"/>
                <w:color w:val="AEB6BE"/>
                <w:sz w:val="17"/>
                <w:szCs w:val="17"/>
              </w:rPr>
              <w:br/>
              <w:t xml:space="preserve">Wake Forest University</w:t>
            </w:r>
          </w:p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B.S., Accounting</w:t>
            </w:r>
            <w:r>
              <w:rPr>
                <w:rFonts w:ascii="Calibri" w:cs="Calibri" w:eastAsia="Calibri" w:hAnsi="Calibri"/>
                <w:color w:val="AEB6BE"/>
                <w:sz w:val="17"/>
                <w:szCs w:val="17"/>
              </w:rPr>
              <w:br/>
              <w:t xml:space="preserve">UNC Charlotte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60"/>
              <w:left w:type="dxa" w:w="560"/>
              <w:bottom w:type="dxa" w:w="560"/>
              <w:right w:type="dxa" w:w="540"/>
            </w:tcMar>
            <w:vAlign w:val="top"/>
          </w:tcPr>
          <w:p>
            <w:pPr>
              <w:spacing w:after="200"/>
            </w:pPr>
            <w:r>
              <w:rPr>
                <w:rFonts w:ascii="Calibri" w:cs="Calibri" w:eastAsia="Calibri" w:hAnsi="Calibri"/>
                <w:color w:val="39404F"/>
                <w:sz w:val="20"/>
                <w:szCs w:val="20"/>
              </w:rPr>
              <w:t xml:space="preserve">CPA and audit manager with nine years in public accounting, including six at a Big 4 firm. I lead financial-statement audits for public and private clients, design SOX controls, and mentor staff. Known for clean files, on-time delivery, and finding the issues that matter before they become restatements.</w:t>
            </w:r>
          </w:p>
          <w:tbl>
            <w:tblPr>
              <w:tblW w:type="dxa" w:w="7060"/>
              <w:tblBorders>
                <w:top w:val="single" w:color="E5E8EB" w:sz="4"/>
                <w:left w:val="none"/>
                <w:bottom w:val="single" w:color="E5E8EB" w:sz="4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765"/>
              <w:gridCol w:w="1765"/>
              <w:gridCol w:w="1765"/>
              <w:gridCol w:w="1765"/>
            </w:tblGrid>
            <w:tr>
              <w:tc>
                <w:tcPr>
                  <w:tcW w:type="dxa" w:w="176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50"/>
                    <w:left w:type="dxa" w:w="20"/>
                    <w:bottom w:type="dxa" w:w="150"/>
                    <w:right w:type="dxa" w:w="20"/>
                  </w:tcMar>
                  <w:vAlign w:val="center"/>
                </w:tcPr>
                <w:p>
                  <w:pPr>
                    <w:spacing w:after="18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B333B"/>
                      <w:sz w:val="27"/>
                      <w:szCs w:val="27"/>
                    </w:rPr>
                    <w:t xml:space="preserve">40+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089A0"/>
                      <w:spacing w:val="3"/>
                      <w:sz w:val="12"/>
                      <w:szCs w:val="12"/>
                    </w:rPr>
                    <w:t xml:space="preserve">AUDITS LED</w:t>
                  </w:r>
                </w:p>
              </w:tc>
              <w:tc>
                <w:tcPr>
                  <w:tcW w:type="dxa" w:w="176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50"/>
                    <w:left w:type="dxa" w:w="20"/>
                    <w:bottom w:type="dxa" w:w="150"/>
                    <w:right w:type="dxa" w:w="20"/>
                  </w:tcMar>
                  <w:vAlign w:val="center"/>
                </w:tcPr>
                <w:p>
                  <w:pPr>
                    <w:spacing w:after="18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B333B"/>
                      <w:sz w:val="27"/>
                      <w:szCs w:val="27"/>
                    </w:rPr>
                    <w:t xml:space="preserve">$2B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089A0"/>
                      <w:spacing w:val="3"/>
                      <w:sz w:val="12"/>
                      <w:szCs w:val="12"/>
                    </w:rPr>
                    <w:t xml:space="preserve">LARGEST CLIENT</w:t>
                  </w:r>
                </w:p>
              </w:tc>
              <w:tc>
                <w:tcPr>
                  <w:tcW w:type="dxa" w:w="176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50"/>
                    <w:left w:type="dxa" w:w="20"/>
                    <w:bottom w:type="dxa" w:w="150"/>
                    <w:right w:type="dxa" w:w="20"/>
                  </w:tcMar>
                  <w:vAlign w:val="center"/>
                </w:tcPr>
                <w:p>
                  <w:pPr>
                    <w:spacing w:after="18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B333B"/>
                      <w:sz w:val="27"/>
                      <w:szCs w:val="27"/>
                    </w:rPr>
                    <w:t xml:space="preserve">14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089A0"/>
                      <w:spacing w:val="3"/>
                      <w:sz w:val="12"/>
                      <w:szCs w:val="12"/>
                    </w:rPr>
                    <w:t xml:space="preserve">STAFF MENTORED</w:t>
                  </w:r>
                </w:p>
              </w:tc>
              <w:tc>
                <w:tcPr>
                  <w:tcW w:type="dxa" w:w="176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50"/>
                    <w:left w:type="dxa" w:w="20"/>
                    <w:bottom w:type="dxa" w:w="150"/>
                    <w:right w:type="dxa" w:w="20"/>
                  </w:tcMar>
                  <w:vAlign w:val="center"/>
                </w:tcPr>
                <w:p>
                  <w:pPr>
                    <w:spacing w:after="18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B333B"/>
                      <w:sz w:val="27"/>
                      <w:szCs w:val="27"/>
                    </w:rPr>
                    <w:t xml:space="preserve">Zero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089A0"/>
                      <w:spacing w:val="3"/>
                      <w:sz w:val="12"/>
                      <w:szCs w:val="12"/>
                    </w:rPr>
                    <w:t xml:space="preserve">RESTATEMENTS</w:t>
                  </w:r>
                </w:p>
              </w:tc>
            </w:tr>
          </w:tbl>
          <w:p>
            <w:pPr>
              <w:spacing w:after="140" w:before="280"/>
            </w:pPr>
            <w:r>
              <w:rPr>
                <w:rFonts w:ascii="Calibri" w:cs="Calibri" w:eastAsia="Calibri" w:hAnsi="Calibri"/>
                <w:b/>
                <w:bCs/>
                <w:color w:val="2B333B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D2433"/>
                      <w:sz w:val="20"/>
                      <w:szCs w:val="20"/>
                    </w:rPr>
                    <w:t xml:space="preserve">Audit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1B2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B333B"/>
                <w:sz w:val="18"/>
                <w:szCs w:val="18"/>
              </w:rPr>
              <w:t xml:space="preserve">Deloitte — Charlotte, NC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F"/>
                <w:sz w:val="19"/>
                <w:szCs w:val="19"/>
              </w:rPr>
              <w:t xml:space="preserve">Lead financial-statement audits for 8–10 public and private clients a year, up to $2B in revenue.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F"/>
                <w:sz w:val="19"/>
                <w:szCs w:val="19"/>
              </w:rPr>
              <w:t xml:space="preserve">Manage engagement teams of up to 6, delivering every audit on budget and on deadline.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F"/>
                <w:sz w:val="19"/>
                <w:szCs w:val="19"/>
              </w:rPr>
              <w:t xml:space="preserve">Designed SOX 404 control frameworks that reduced client deficiencies by 45%.</w:t>
            </w:r>
          </w:p>
          <w:p>
            <w:pPr>
              <w:spacing w:after="110"/>
            </w:pP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D2433"/>
                      <w:sz w:val="20"/>
                      <w:szCs w:val="20"/>
                    </w:rPr>
                    <w:t xml:space="preserve">Audit Senior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1B2"/>
                      <w:sz w:val="17"/>
                      <w:szCs w:val="17"/>
                    </w:rPr>
                    <w:t xml:space="preserve">2017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B333B"/>
                <w:sz w:val="18"/>
                <w:szCs w:val="18"/>
              </w:rPr>
              <w:t xml:space="preserve">KPMG — Charlotte, NC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F"/>
                <w:sz w:val="19"/>
                <w:szCs w:val="19"/>
              </w:rPr>
              <w:t xml:space="preserve">Ran fieldwork for manufacturing and financial-services clients across full audit cycles.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F"/>
                <w:sz w:val="19"/>
                <w:szCs w:val="19"/>
              </w:rPr>
              <w:t xml:space="preserve">Promoted a year early for consistently top-rated engagement reviews.</w:t>
            </w:r>
          </w:p>
          <w:p>
            <w:pPr>
              <w:spacing w:after="110"/>
            </w:pP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D2433"/>
                      <w:sz w:val="20"/>
                      <w:szCs w:val="20"/>
                    </w:rPr>
                    <w:t xml:space="preserve">Audit Associate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1B2"/>
                      <w:sz w:val="17"/>
                      <w:szCs w:val="17"/>
                    </w:rPr>
                    <w:t xml:space="preserve">2015 – 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B333B"/>
                <w:sz w:val="18"/>
                <w:szCs w:val="18"/>
              </w:rPr>
              <w:t xml:space="preserve">Cherry Bekaert — Charlotte, NC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F"/>
                <w:sz w:val="19"/>
                <w:szCs w:val="19"/>
              </w:rPr>
              <w:t xml:space="preserve">Performed substantive testing, confirmations, and workpaper documentation across 20+ engagements.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04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up4tup65rzbsm92tldc8t" Type="http://schemas.openxmlformats.org/officeDocument/2006/relationships/hyperlink" Target="mailto:d.okafo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2026-06-18T20:48:16.286Z</dcterms:created>
  <dcterms:modified xsi:type="dcterms:W3CDTF">2026-06-18T20:48:16.286Z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