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10"/>
        <w:gridCol w:w="3930"/>
      </w:tblGrid>
      <w:tr>
        <w:trPr>
          <w:trHeight w:val="14600" w:hRule="atLeast"/>
        </w:trPr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720"/>
              <w:bottom w:type="dxa" w:w="560"/>
              <w:right w:type="dxa" w:w="44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50"/>
                <w:szCs w:val="50"/>
              </w:rPr>
              <w:t xml:space="preserve">Ashley Nguyen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8"/>
                <w:szCs w:val="18"/>
              </w:rPr>
              <w:t xml:space="preserve">ADMINISTRATIVE ASSISTANT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4C4843"/>
                <w:sz w:val="20"/>
                <w:szCs w:val="20"/>
              </w:rPr>
              <w:t xml:space="preserve">Reliable administrative assistant who keeps the office running and people supported. From a warm front-desk welcome to scheduling, supplies, and correspondence, I am the dependable first point of contact who solves problems before they reach the boss.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Brightwave Marketing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Greet visitors and field 60+ calls and emails daily, routing each to the right team within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Manage scheduling, conference rooms, and catering for a 45-person office.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Own filing, data entry, and supply ordering, cutting office-supply spend by 18%.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Office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Lone Star Dental Group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Scheduled 80+ patient appointments weekly and managed insurance paperwork.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Processed invoices and petty cash with 100% reconciliation accuracy.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Sterling Properties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Operated a multi-line phone system and kept the front office welcoming and organized.</w:t>
            </w:r>
          </w:p>
          <w:p>
            <w:pPr>
              <w:spacing w:after="0"/>
            </w:pPr>
          </w:p>
        </w:tc>
        <w:tc>
          <w:tcPr>
            <w:tcW w:type="dxa" w:w="3930"/>
            <w:tcBorders>
              <w:top w:val="none" w:color="FFFFFF" w:sz="0"/>
              <w:left w:val="single" w:color="DEDCF4" w:sz="4"/>
              <w:bottom w:val="none" w:color="FFFFFF" w:sz="0"/>
              <w:right w:val="none" w:color="FFFFFF" w:sz="0"/>
            </w:tcBorders>
            <w:shd w:fill="F1F0FB" w:color="auto" w:val="clear"/>
            <w:tcMar>
              <w:top w:type="dxa" w:w="64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200"/>
              <w:jc w:val="right"/>
            </w:pP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xnxvp6mhzoa4osjvlibt">
              <w:r>
                <w:rPr>
                  <w:rFonts w:ascii="Calibri" w:cs="Calibri" w:eastAsia="Calibri" w:hAnsi="Calibri"/>
                  <w:color w:val="4F46B5"/>
                  <w:sz w:val="17"/>
                  <w:szCs w:val="17"/>
                  <w:u w:val="single"/>
                </w:rPr>
                <w:t xml:space="preserve">ashley.nguyen@email.com</w:t>
              </w:r>
            </w:hyperlink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in/ashleynguyen</w:t>
            </w:r>
          </w:p>
          <w:p>
            <w:pPr>
              <w:shd w:fill="4F46B5" w:color="auto" w:val="clear"/>
              <w:spacing w:after="0" w:before="80"/>
              <w:jc w:val="center"/>
            </w:pPr>
            <w:r>
              <w:rPr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45"/>
                <w:szCs w:val="45"/>
              </w:rPr>
              <w:t xml:space="preserve">78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3"/>
                <w:szCs w:val="23"/>
              </w:rPr>
              <w:t xml:space="preserve"> WPM</w:t>
            </w:r>
            <w:r>
              <w:rPr>
                <w:rFonts w:ascii="Calibri" w:cs="Calibri" w:eastAsia="Calibri" w:hAnsi="Calibri"/>
                <w:color w:val="FFFFFF"/>
                <w:spacing w:val="14"/>
                <w:sz w:val="12"/>
                <w:szCs w:val="12"/>
              </w:rPr>
              <w:br/>
              <w:t xml:space="preserve">TYPING SPEED · 99% ACCURACY</w:t>
            </w:r>
            <w:r>
              <w:rPr>
                <w:sz w:val="14"/>
                <w:szCs w:val="14"/>
              </w:rPr>
              <w:br/>
              <w:t xml:space="preserve"/>
            </w:r>
          </w:p>
          <w:p>
            <w:pPr>
              <w:spacing w:after="180"/>
            </w:pP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18"/>
                <w:sz w:val="17"/>
                <w:szCs w:val="17"/>
              </w:rPr>
              <w:t xml:space="preserve">SOFTWARE TOOLBOX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Outlook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Excel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Word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PowerPoint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Teams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Google Workspace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QuickBooks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A338F"/>
                <w:sz w:val="17"/>
                <w:szCs w:val="17"/>
                <w:shd w:fill="FFFFFF" w:color="auto" w:val="clear"/>
              </w:rPr>
              <w:t xml:space="preserve">  Canva  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Scheduling · Data Entry · Filing &amp; Records · Front Desk · Travel Booking · Meeting Minutes · Supply &amp; Vendor Orders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18"/>
                <w:szCs w:val="18"/>
              </w:rPr>
              <w:t xml:space="preserve">A.A.S., Office Administration</w:t>
            </w:r>
            <w:r>
              <w:rPr>
                <w:rFonts w:ascii="Calibri" w:cs="Calibri" w:eastAsia="Calibri" w:hAnsi="Calibri"/>
                <w:color w:val="7C766C"/>
                <w:sz w:val="17"/>
                <w:szCs w:val="17"/>
              </w:rPr>
              <w:br/>
              <w:t xml:space="preserve">Austin Community College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18"/>
                <w:sz w:val="17"/>
                <w:szCs w:val="17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Microsoft Office Specialist (MOS)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484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xnxvp6mhzoa4osjvlibt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2026-06-17T20:49:44.562Z</dcterms:created>
  <dcterms:modified xsi:type="dcterms:W3CDTF">2026-06-17T20:49:44.562Z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