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9402E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A9D1B7"/>
                      <w:spacing w:val="28"/>
                      <w:sz w:val="15"/>
                      <w:szCs w:val="15"/>
                    </w:rPr>
                    <w:t xml:space="preserve">Full-Charge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FFFFFF"/>
                      <w:sz w:val="48"/>
                      <w:szCs w:val="48"/>
                    </w:rPr>
                    <w:t xml:space="preserve">Karen Whitfield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Columbus, OH 43215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(614)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karen.whitfield@email.com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D6E0D6"/>
                      <w:sz w:val="16"/>
                      <w:szCs w:val="16"/>
                    </w:rPr>
                    <w:t xml:space="preserve">in/karenwhitfield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2700"/>
            <w:tcBorders>
              <w:top w:val="single" w:color="F5F1E2" w:sz="4"/>
              <w:left w:val="single" w:color="F5F1E2" w:sz="4"/>
              <w:bottom w:val="single" w:color="F5F1E2" w:sz="4"/>
              <w:right w:val="single" w:color="DDD6C4" w:sz="4"/>
            </w:tcBorders>
            <w:shd w:fill="F5F1E2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9402E"/>
                <w:sz w:val="28"/>
                <w:szCs w:val="28"/>
              </w:rPr>
              <w:t xml:space="preserve">$8M / yr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BOOKS MANAGED</w:t>
            </w:r>
          </w:p>
        </w:tc>
        <w:tc>
          <w:tcPr>
            <w:tcW w:type="dxa" w:w="2700"/>
            <w:tcBorders>
              <w:top w:val="single" w:color="F5F1E2" w:sz="4"/>
              <w:left w:val="single" w:color="DDD6C4" w:sz="4"/>
              <w:bottom w:val="single" w:color="F5F1E2" w:sz="4"/>
              <w:right w:val="single" w:color="DDD6C4" w:sz="4"/>
            </w:tcBorders>
            <w:shd w:fill="F5F1E2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9402E"/>
                <w:sz w:val="28"/>
                <w:szCs w:val="28"/>
              </w:rPr>
              <w:t xml:space="preserve">5-day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CLOSE</w:t>
            </w:r>
          </w:p>
        </w:tc>
        <w:tc>
          <w:tcPr>
            <w:tcW w:type="dxa" w:w="2700"/>
            <w:tcBorders>
              <w:top w:val="single" w:color="F5F1E2" w:sz="4"/>
              <w:left w:val="single" w:color="DDD6C4" w:sz="4"/>
              <w:bottom w:val="single" w:color="F5F1E2" w:sz="4"/>
              <w:right w:val="single" w:color="DDD6C4" w:sz="4"/>
            </w:tcBorders>
            <w:shd w:fill="F5F1E2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9402E"/>
                <w:sz w:val="28"/>
                <w:szCs w:val="28"/>
              </w:rPr>
              <w:t xml:space="preserve">100% recon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ACCURACY</w:t>
            </w:r>
          </w:p>
        </w:tc>
        <w:tc>
          <w:tcPr>
            <w:tcW w:type="dxa" w:w="2700"/>
            <w:tcBorders>
              <w:top w:val="single" w:color="F5F1E2" w:sz="4"/>
              <w:left w:val="single" w:color="DDD6C4" w:sz="4"/>
              <w:bottom w:val="single" w:color="F5F1E2" w:sz="4"/>
              <w:right w:val="single" w:color="DDD6C4" w:sz="4"/>
            </w:tcBorders>
            <w:shd w:fill="F5F1E2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8" w:before="0"/>
            </w:pPr>
            <w:r>
              <w:rPr>
                <w:rFonts w:ascii="Newsreader" w:cs="Newsreader" w:eastAsia="Newsreader" w:hAnsi="Newsreader"/>
                <w:b/>
                <w:bCs/>
                <w:color w:val="19402E"/>
                <w:sz w:val="28"/>
                <w:szCs w:val="28"/>
              </w:rPr>
              <w:t xml:space="preserve">12 Yrs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B5F3E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90" w:before="14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Full-charge bookkeeper for growing businesses. Twelve years running the complete accounting cycle in QuickBooks and Xero — from journal entries and monthly reconciliations to payroll, sales tax, and GAAP-ready financial statements. Reliable, meticulous, and CPA-ready at year-end.</w:t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8"/>
          <w:szCs w:val="28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Full-Charge Bookkeeper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9402E"/>
                <w:sz w:val="19"/>
                <w:szCs w:val="19"/>
              </w:rPr>
              <w:t xml:space="preserve">Whitfield Bookkeeping, LLC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9402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Own the complete accounting cycle for 8 businesses in QuickBooks Online and Xero.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9402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Close monthly books in 5 days with 100% bank &amp; credit-card reconciliation.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9402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payroll (Gusto), sales tax filings, and CPA-ready year-end packages.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Senior Bookkeeper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9402E"/>
                <w:sz w:val="19"/>
                <w:szCs w:val="19"/>
              </w:rPr>
              <w:t xml:space="preserve">Meridian Property Group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9402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AP/AR, journal entries, and monthly reconciliations across multiple entities.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9402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Processed payroll and quarterly payroll-tax filings.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Accounting Clerk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9402E"/>
                <w:sz w:val="19"/>
                <w:szCs w:val="19"/>
              </w:rPr>
              <w:t xml:space="preserve">Nationwide (AP Dept.) — Columbus, OH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9402E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Processed high-volume invoices and vendor payments; reconciled statements.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19402E"/>
                <w:spacing w:val="14"/>
                <w:sz w:val="15"/>
                <w:szCs w:val="15"/>
              </w:rPr>
              <w:t xml:space="preserve">SKILLS &amp; SOFTWARE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QuickBooks · Xero · AP/AR · Bank Reconciliation · General Ledger · Payroll · Month-End Close · Financial Statements · GAAP · Excel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19402E"/>
                <w:spacing w:val="14"/>
                <w:sz w:val="15"/>
                <w:szCs w:val="15"/>
              </w:rPr>
              <w:t xml:space="preserve">CERTIFICATION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QuickBooks Certified ProAdvisor</w:t>
              <w:br/>
              <w:t xml:space="preserve">A.A.S., Accounting — Columbus State</w:t>
            </w:r>
          </w:p>
        </w:tc>
      </w:tr>
    </w:tbl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