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A2B44" w:color="auto" w:val="clear"/>
            <w:tcMar>
              <w:top w:type="dxa" w:w="46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00"/>
              <w:gridCol w:w="3800"/>
            </w:tblGrid>
            <w:tr>
              <w:tc>
                <w:tcPr>
                  <w:tcW w:type="dxa" w:w="7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B0BFD6"/>
                      <w:spacing w:val="28"/>
                      <w:sz w:val="15"/>
                      <w:szCs w:val="15"/>
                    </w:rPr>
                    <w:t xml:space="preserve">Full-Charge Bookkeeper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Newsreader" w:cs="Newsreader" w:eastAsia="Newsreader" w:hAnsi="Newsreader"/>
                      <w:b/>
                      <w:bCs/>
                      <w:color w:val="FFFFFF"/>
                      <w:sz w:val="48"/>
                      <w:szCs w:val="48"/>
                    </w:rPr>
                    <w:t xml:space="preserve">Karen Whitfield</w:t>
                  </w:r>
                </w:p>
              </w:tc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D6"/>
                      <w:sz w:val="16"/>
                      <w:szCs w:val="16"/>
                    </w:rPr>
                    <w:t xml:space="preserve">Columbus, OH 43215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D6"/>
                      <w:sz w:val="16"/>
                      <w:szCs w:val="16"/>
                    </w:rPr>
                    <w:t xml:space="preserve">(614) 555-0142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D6"/>
                      <w:sz w:val="16"/>
                      <w:szCs w:val="16"/>
                    </w:rPr>
                    <w:t xml:space="preserve">karen.whitfield@email.com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D6"/>
                      <w:sz w:val="16"/>
                      <w:szCs w:val="16"/>
                    </w:rPr>
                    <w:t xml:space="preserve">in/karenwhitfield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2700"/>
            <w:tcBorders>
              <w:top w:val="single" w:color="F2F1E8" w:sz="4"/>
              <w:left w:val="single" w:color="F2F1E8" w:sz="4"/>
              <w:bottom w:val="single" w:color="F2F1E8" w:sz="4"/>
              <w:right w:val="single" w:color="DDD6C4" w:sz="4"/>
            </w:tcBorders>
            <w:shd w:fill="F2F1E8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Newsreader" w:cs="Newsreader" w:eastAsia="Newsreader" w:hAnsi="Newsreader"/>
                <w:b/>
                <w:bCs/>
                <w:color w:val="1A2B44"/>
                <w:sz w:val="28"/>
                <w:szCs w:val="28"/>
              </w:rPr>
              <w:t xml:space="preserve">$8M / yr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5F5F5F"/>
                <w:spacing w:val="8"/>
                <w:sz w:val="13"/>
                <w:szCs w:val="13"/>
              </w:rPr>
              <w:t xml:space="preserve">BOOKS MANAGED</w:t>
            </w:r>
          </w:p>
        </w:tc>
        <w:tc>
          <w:tcPr>
            <w:tcW w:type="dxa" w:w="2700"/>
            <w:tcBorders>
              <w:top w:val="single" w:color="F2F1E8" w:sz="4"/>
              <w:left w:val="single" w:color="DDD6C4" w:sz="4"/>
              <w:bottom w:val="single" w:color="F2F1E8" w:sz="4"/>
              <w:right w:val="single" w:color="DDD6C4" w:sz="4"/>
            </w:tcBorders>
            <w:shd w:fill="F2F1E8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Newsreader" w:cs="Newsreader" w:eastAsia="Newsreader" w:hAnsi="Newsreader"/>
                <w:b/>
                <w:bCs/>
                <w:color w:val="1A2B44"/>
                <w:sz w:val="28"/>
                <w:szCs w:val="28"/>
              </w:rPr>
              <w:t xml:space="preserve">5-day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5F5F5F"/>
                <w:spacing w:val="8"/>
                <w:sz w:val="13"/>
                <w:szCs w:val="13"/>
              </w:rPr>
              <w:t xml:space="preserve">CLOSE</w:t>
            </w:r>
          </w:p>
        </w:tc>
        <w:tc>
          <w:tcPr>
            <w:tcW w:type="dxa" w:w="2700"/>
            <w:tcBorders>
              <w:top w:val="single" w:color="F2F1E8" w:sz="4"/>
              <w:left w:val="single" w:color="DDD6C4" w:sz="4"/>
              <w:bottom w:val="single" w:color="F2F1E8" w:sz="4"/>
              <w:right w:val="single" w:color="DDD6C4" w:sz="4"/>
            </w:tcBorders>
            <w:shd w:fill="F2F1E8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Newsreader" w:cs="Newsreader" w:eastAsia="Newsreader" w:hAnsi="Newsreader"/>
                <w:b/>
                <w:bCs/>
                <w:color w:val="1A2B44"/>
                <w:sz w:val="28"/>
                <w:szCs w:val="28"/>
              </w:rPr>
              <w:t xml:space="preserve">100% recon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5F5F5F"/>
                <w:spacing w:val="8"/>
                <w:sz w:val="13"/>
                <w:szCs w:val="13"/>
              </w:rPr>
              <w:t xml:space="preserve">ACCURACY</w:t>
            </w:r>
          </w:p>
        </w:tc>
        <w:tc>
          <w:tcPr>
            <w:tcW w:type="dxa" w:w="2700"/>
            <w:tcBorders>
              <w:top w:val="single" w:color="F2F1E8" w:sz="4"/>
              <w:left w:val="single" w:color="DDD6C4" w:sz="4"/>
              <w:bottom w:val="single" w:color="F2F1E8" w:sz="4"/>
              <w:right w:val="single" w:color="DDD6C4" w:sz="4"/>
            </w:tcBorders>
            <w:shd w:fill="F2F1E8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Newsreader" w:cs="Newsreader" w:eastAsia="Newsreader" w:hAnsi="Newsreader"/>
                <w:b/>
                <w:bCs/>
                <w:color w:val="1A2B44"/>
                <w:sz w:val="28"/>
                <w:szCs w:val="28"/>
              </w:rPr>
              <w:t xml:space="preserve">12 Yrs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5F5F5F"/>
                <w:spacing w:val="8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90" w:before="14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Full-charge bookkeeper for growing businesses. Twelve years running the complete accounting cycle in QuickBooks and Xero — from journal entries and monthly reconciliations to payroll, sales tax, and GAAP-ready financial statements. Reliable, meticulous, and CPA-ready at year-end.</w:t>
      </w:r>
    </w:p>
    <w:p>
      <w:pPr>
        <w:spacing w:after="70" w:before="200"/>
        <w:ind w:left="720" w:right="720"/>
      </w:pPr>
      <w:r>
        <w:rPr>
          <w:rFonts w:ascii="Newsreader" w:cs="Newsreader" w:eastAsia="Newsreader" w:hAnsi="Newsreader"/>
          <w:b/>
          <w:bCs/>
          <w:color w:val="1F1F1F"/>
          <w:sz w:val="28"/>
          <w:szCs w:val="28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Full-Charge Bookkeeper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Whitfield Bookkeeping, LLC — Columbus, OH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A2B4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 the complete accounting cycle for 8 businesses in QuickBooks Online and Xero.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A2B4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Close monthly books in 5 days with 100% bank &amp; credit-card reconciliation.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A2B4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 payroll (Gusto), sales tax filings, and CPA-ready year-end packages.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Senior Bookkeeper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Meridian Property Group — Columbus, OH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A2B4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Handled AP/AR, journal entries, and monthly reconciliations across multiple entities.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A2B4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Processed payroll and quarterly payroll-tax filings.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Accounting Clerk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Nationwide (AP Dept.) — Columbus, OH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2012 — 2014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A2B4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Processed high-volume invoices and vendor payments; reconciled statements.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1A2B44"/>
                <w:spacing w:val="14"/>
                <w:sz w:val="15"/>
                <w:szCs w:val="15"/>
              </w:rPr>
              <w:t xml:space="preserve">SKILLS &amp; SOFTWARE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QuickBooks · Xero · AP/AR · Bank Reconciliation · General Ledger · Payroll · Month-End Close · Financial Statements · GAAP · Excel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1A2B44"/>
                <w:spacing w:val="14"/>
                <w:sz w:val="15"/>
                <w:szCs w:val="15"/>
              </w:rPr>
              <w:t xml:space="preserve">CERTIFICATION &amp; 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QuickBooks Certified ProAdvisor</w:t>
              <w:br/>
              <w:t xml:space="preserve">A.A.S., Accounting — Columbus State</w:t>
            </w:r>
          </w:p>
        </w:tc>
      </w:tr>
    </w:tbl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