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050"/>
        <w:gridCol w:w="8190"/>
      </w:tblGrid>
      <w:tr>
        <w:trPr>
          <w:trHeight w:val="14600" w:hRule="atLeast"/>
        </w:trPr>
        <w:tc>
          <w:tcPr>
            <w:tcW w:type="dxa" w:w="40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4A2030" w:color="auto" w:val="clear"/>
            <w:tcMar>
              <w:top w:type="dxa" w:w="620"/>
              <w:left w:type="dxa" w:w="430"/>
              <w:bottom w:type="dxa" w:w="560"/>
              <w:right w:type="dxa" w:w="380"/>
            </w:tcMar>
            <w:vAlign w:val="top"/>
          </w:tcPr>
          <w:tbl>
            <w:tblPr>
              <w:tblW w:type="dxa" w:w="10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060"/>
            </w:tblGrid>
            <w:tr>
              <w:trPr>
                <w:trHeight w:val="1060" w:hRule="atLeast"/>
              </w:trPr>
              <w:tc>
                <w:tcPr>
                  <w:tcW w:type="dxa" w:w="10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A8475A" w:color="auto" w:val="clear"/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39"/>
                      <w:szCs w:val="39"/>
                    </w:rPr>
                    <w:t xml:space="preserve">DK</w:t>
                  </w:r>
                </w:p>
              </w:tc>
            </w:tr>
          </w:tbl>
          <w:p>
            <w:pPr>
              <w:spacing w:after="80" w:before="230"/>
            </w:pPr>
            <w:r>
              <w:rPr>
                <w:rFonts w:ascii="Calibri" w:cs="Calibri" w:eastAsia="Calibri" w:hAnsi="Calibri"/>
                <w:b/>
                <w:bCs/>
                <w:color w:val="D6A6B0"/>
                <w:spacing w:val="26"/>
                <w:sz w:val="17"/>
                <w:szCs w:val="17"/>
              </w:rPr>
              <w:t xml:space="preserve">CONTACT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F1DEE2"/>
                <w:sz w:val="19"/>
                <w:szCs w:val="19"/>
              </w:rPr>
              <w:t xml:space="preserve">Atlanta, GA</w:t>
            </w:r>
            <w:r>
              <w:rPr>
                <w:rFonts w:ascii="Calibri" w:cs="Calibri" w:eastAsia="Calibri" w:hAnsi="Calibri"/>
                <w:color w:val="F1DEE2"/>
                <w:sz w:val="19"/>
                <w:szCs w:val="19"/>
              </w:rPr>
              <w:br/>
              <w:t xml:space="preserve">(404) 555-0167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nimeesl3fenqdzuzitcs0">
              <w:r>
                <w:rPr>
                  <w:rFonts w:ascii="Calibri" w:cs="Calibri" w:eastAsia="Calibri" w:hAnsi="Calibri"/>
                  <w:color w:val="F1DEE2"/>
                  <w:sz w:val="17"/>
                  <w:szCs w:val="17"/>
                  <w:u w:val="single"/>
                </w:rPr>
                <w:t xml:space="preserve">david.kim@email.com</w:t>
              </w:r>
            </w:hyperlink>
            <w:r>
              <w:rPr>
                <w:rFonts w:ascii="Calibri" w:cs="Calibri" w:eastAsia="Calibri" w:hAnsi="Calibri"/>
                <w:color w:val="F1DEE2"/>
                <w:sz w:val="18"/>
                <w:szCs w:val="18"/>
              </w:rPr>
              <w:br/>
              <w:t xml:space="preserve">in/davidkim-ba</w:t>
            </w:r>
          </w:p>
          <w:p>
            <w:pPr>
              <w:spacing w:after="80" w:before="230"/>
            </w:pPr>
            <w:r>
              <w:rPr>
                <w:rFonts w:ascii="Calibri" w:cs="Calibri" w:eastAsia="Calibri" w:hAnsi="Calibri"/>
                <w:b/>
                <w:bCs/>
                <w:color w:val="D6A6B0"/>
                <w:spacing w:val="26"/>
                <w:sz w:val="17"/>
                <w:szCs w:val="17"/>
              </w:rPr>
              <w:t xml:space="preserve">CERTIFICATIONS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F1DEE2"/>
                <w:sz w:val="19"/>
                <w:szCs w:val="19"/>
              </w:rPr>
              <w:t xml:space="preserve">CBAP® — IIBA</w:t>
            </w:r>
            <w:r>
              <w:rPr>
                <w:rFonts w:ascii="Calibri" w:cs="Calibri" w:eastAsia="Calibri" w:hAnsi="Calibri"/>
                <w:color w:val="F1DEE2"/>
                <w:sz w:val="19"/>
                <w:szCs w:val="19"/>
              </w:rPr>
              <w:br/>
              <w:t xml:space="preserve">PMI-PBA®</w:t>
            </w:r>
            <w:r>
              <w:rPr>
                <w:rFonts w:ascii="Calibri" w:cs="Calibri" w:eastAsia="Calibri" w:hAnsi="Calibri"/>
                <w:color w:val="F1DEE2"/>
                <w:sz w:val="19"/>
                <w:szCs w:val="19"/>
              </w:rPr>
              <w:br/>
              <w:t xml:space="preserve">Certified Scrum Product Owner</w:t>
            </w:r>
          </w:p>
          <w:p>
            <w:pPr>
              <w:spacing w:after="80" w:before="230"/>
            </w:pPr>
            <w:r>
              <w:rPr>
                <w:rFonts w:ascii="Calibri" w:cs="Calibri" w:eastAsia="Calibri" w:hAnsi="Calibri"/>
                <w:b/>
                <w:bCs/>
                <w:color w:val="D6A6B0"/>
                <w:spacing w:val="26"/>
                <w:sz w:val="17"/>
                <w:szCs w:val="17"/>
              </w:rPr>
              <w:t xml:space="preserve">CORE COMPETENCIES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F1DEE2"/>
                <w:sz w:val="19"/>
                <w:szCs w:val="19"/>
              </w:rPr>
              <w:t xml:space="preserve">Requirements Elicitation</w:t>
            </w:r>
            <w:r>
              <w:rPr>
                <w:rFonts w:ascii="Calibri" w:cs="Calibri" w:eastAsia="Calibri" w:hAnsi="Calibri"/>
                <w:color w:val="F1DEE2"/>
                <w:sz w:val="19"/>
                <w:szCs w:val="19"/>
              </w:rPr>
              <w:br/>
              <w:t xml:space="preserve">BRD / FRD / Use Cases</w:t>
            </w:r>
            <w:r>
              <w:rPr>
                <w:rFonts w:ascii="Calibri" w:cs="Calibri" w:eastAsia="Calibri" w:hAnsi="Calibri"/>
                <w:color w:val="F1DEE2"/>
                <w:sz w:val="19"/>
                <w:szCs w:val="19"/>
              </w:rPr>
              <w:br/>
              <w:t xml:space="preserve">Process Modeling (BPMN)</w:t>
            </w:r>
            <w:r>
              <w:rPr>
                <w:rFonts w:ascii="Calibri" w:cs="Calibri" w:eastAsia="Calibri" w:hAnsi="Calibri"/>
                <w:color w:val="F1DEE2"/>
                <w:sz w:val="19"/>
                <w:szCs w:val="19"/>
              </w:rPr>
              <w:br/>
              <w:t xml:space="preserve">UML &amp; Data Flow Diagrams</w:t>
            </w:r>
            <w:r>
              <w:rPr>
                <w:rFonts w:ascii="Calibri" w:cs="Calibri" w:eastAsia="Calibri" w:hAnsi="Calibri"/>
                <w:color w:val="F1DEE2"/>
                <w:sz w:val="19"/>
                <w:szCs w:val="19"/>
              </w:rPr>
              <w:br/>
              <w:t xml:space="preserve">Gap &amp; Impact Analysis</w:t>
            </w:r>
            <w:r>
              <w:rPr>
                <w:rFonts w:ascii="Calibri" w:cs="Calibri" w:eastAsia="Calibri" w:hAnsi="Calibri"/>
                <w:color w:val="F1DEE2"/>
                <w:sz w:val="19"/>
                <w:szCs w:val="19"/>
              </w:rPr>
              <w:br/>
              <w:t xml:space="preserve">UAT &amp; Traceability</w:t>
            </w:r>
          </w:p>
          <w:p>
            <w:pPr>
              <w:spacing w:after="80" w:before="230"/>
            </w:pPr>
            <w:r>
              <w:rPr>
                <w:rFonts w:ascii="Calibri" w:cs="Calibri" w:eastAsia="Calibri" w:hAnsi="Calibri"/>
                <w:b/>
                <w:bCs/>
                <w:color w:val="D6A6B0"/>
                <w:spacing w:val="26"/>
                <w:sz w:val="17"/>
                <w:szCs w:val="17"/>
              </w:rPr>
              <w:t xml:space="preserve">TOOLS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F1DEE2"/>
                <w:sz w:val="19"/>
                <w:szCs w:val="19"/>
              </w:rPr>
              <w:t xml:space="preserve">Jira · Confluence · Visio</w:t>
            </w:r>
            <w:r>
              <w:rPr>
                <w:rFonts w:ascii="Calibri" w:cs="Calibri" w:eastAsia="Calibri" w:hAnsi="Calibri"/>
                <w:color w:val="F1DEE2"/>
                <w:sz w:val="19"/>
                <w:szCs w:val="19"/>
              </w:rPr>
              <w:br/>
              <w:t xml:space="preserve">Lucidchart · SQL</w:t>
            </w:r>
            <w:r>
              <w:rPr>
                <w:rFonts w:ascii="Calibri" w:cs="Calibri" w:eastAsia="Calibri" w:hAnsi="Calibri"/>
                <w:color w:val="F1DEE2"/>
                <w:sz w:val="19"/>
                <w:szCs w:val="19"/>
              </w:rPr>
              <w:br/>
              <w:t xml:space="preserve">Balsamiq · Azure DevOps</w:t>
            </w:r>
          </w:p>
          <w:p>
            <w:pPr>
              <w:spacing w:after="80" w:before="230"/>
            </w:pPr>
            <w:r>
              <w:rPr>
                <w:rFonts w:ascii="Calibri" w:cs="Calibri" w:eastAsia="Calibri" w:hAnsi="Calibri"/>
                <w:b/>
                <w:bCs/>
                <w:color w:val="D6A6B0"/>
                <w:spacing w:val="26"/>
                <w:sz w:val="17"/>
                <w:szCs w:val="17"/>
              </w:rPr>
              <w:t xml:space="preserve">EDUCATION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F1DEE2"/>
                <w:sz w:val="19"/>
                <w:szCs w:val="19"/>
              </w:rPr>
              <w:t xml:space="preserve">B.S. Management Info. Systems</w:t>
            </w:r>
            <w:r>
              <w:rPr>
                <w:rFonts w:ascii="Calibri" w:cs="Calibri" w:eastAsia="Calibri" w:hAnsi="Calibri"/>
                <w:color w:val="F1DEE2"/>
                <w:sz w:val="19"/>
                <w:szCs w:val="19"/>
              </w:rPr>
              <w:br/>
              <w:t xml:space="preserve">Georgia State University · 2014</w:t>
            </w:r>
          </w:p>
        </w:tc>
        <w:tc>
          <w:tcPr>
            <w:tcW w:type="dxa" w:w="819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40"/>
              <w:left w:type="dxa" w:w="640"/>
              <w:bottom w:type="dxa" w:w="560"/>
              <w:right w:type="dxa" w:w="540"/>
            </w:tcMar>
            <w:vAlign w:val="top"/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3A1521"/>
                <w:sz w:val="45"/>
                <w:szCs w:val="45"/>
              </w:rPr>
              <w:t xml:space="preserve">David Kim, CBAP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9B3A4C"/>
                <w:spacing w:val="22"/>
                <w:sz w:val="18"/>
                <w:szCs w:val="18"/>
              </w:rPr>
              <w:t xml:space="preserve">IT BUSINESS ANALYST</w:t>
            </w:r>
          </w:p>
          <w:p>
            <w:pPr>
              <w:pBdr>
                <w:bottom w:val="single" w:color="EBD9DD" w:sz="8" w:space="3"/>
              </w:pBdr>
              <w:spacing w:after="90" w:before="200"/>
            </w:pPr>
            <w:r>
              <w:rPr>
                <w:rFonts w:ascii="Calibri" w:cs="Calibri" w:eastAsia="Calibri" w:hAnsi="Calibri"/>
                <w:b/>
                <w:bCs/>
                <w:color w:val="9B3A4C"/>
                <w:spacing w:val="24"/>
                <w:sz w:val="20"/>
                <w:szCs w:val="20"/>
              </w:rPr>
              <w:t xml:space="preserve">SUMMARY</w:t>
            </w:r>
          </w:p>
          <w:p>
            <w:pPr>
              <w:spacing w:after="140"/>
            </w:pPr>
            <w:r>
              <w:rPr>
                <w:rFonts w:ascii="Calibri" w:cs="Calibri" w:eastAsia="Calibri" w:hAnsi="Calibri"/>
                <w:color w:val="3A414E"/>
                <w:sz w:val="19"/>
                <w:szCs w:val="19"/>
              </w:rPr>
              <w:t xml:space="preserve">CBAP-certified IT business analyst with 10 years bridging business needs and technical delivery. I elicit and document requirements, model processes, and shepherd solutions from concept through UAT — translating fluently between stakeholders and engineering teams.</w:t>
            </w:r>
          </w:p>
          <w:p>
            <w:pPr>
              <w:pBdr>
                <w:bottom w:val="single" w:color="EBD9DD" w:sz="8" w:space="3"/>
              </w:pBdr>
              <w:spacing w:after="90" w:before="240"/>
            </w:pPr>
            <w:r>
              <w:rPr>
                <w:rFonts w:ascii="Calibri" w:cs="Calibri" w:eastAsia="Calibri" w:hAnsi="Calibri"/>
                <w:b/>
                <w:bCs/>
                <w:color w:val="9B3A4C"/>
                <w:spacing w:val="24"/>
                <w:sz w:val="20"/>
                <w:szCs w:val="20"/>
              </w:rPr>
              <w:t xml:space="preserve">EXPERIENCE</w:t>
            </w:r>
          </w:p>
          <w:tbl>
            <w:tblPr>
              <w:tblW w:type="dxa" w:w="699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090"/>
              <w:gridCol w:w="1900"/>
            </w:tblGrid>
            <w:tr>
              <w:tc>
                <w:tcPr>
                  <w:tcW w:type="dxa" w:w="509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3A1521"/>
                      <w:sz w:val="20"/>
                      <w:szCs w:val="20"/>
                    </w:rPr>
                    <w:t xml:space="preserve">Senior Business Analyst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B95A3"/>
                      <w:sz w:val="18"/>
                      <w:szCs w:val="18"/>
                    </w:rPr>
                    <w:t xml:space="preserve">2019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9B3A4C"/>
                <w:sz w:val="19"/>
                <w:szCs w:val="19"/>
              </w:rPr>
              <w:t xml:space="preserve">The Home Depot — Atlanta, GA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14E"/>
                <w:sz w:val="19"/>
                <w:szCs w:val="19"/>
              </w:rPr>
              <w:t xml:space="preserve">Lead requirements for a $20M order-management system replacement across 5 business units.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14E"/>
                <w:sz w:val="19"/>
                <w:szCs w:val="19"/>
              </w:rPr>
              <w:t xml:space="preserve">Authored 150+ user stories and BRDs; reduced post-release defects 40% through clearer acceptance criteria.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14E"/>
                <w:sz w:val="19"/>
                <w:szCs w:val="19"/>
              </w:rPr>
              <w:t xml:space="preserve">Mapped and redesigned fulfillment workflows in BPMN, cutting processing steps 25%.</w:t>
            </w:r>
          </w:p>
          <w:p>
            <w:pPr>
              <w:spacing w:after="110"/>
            </w:pPr>
          </w:p>
          <w:tbl>
            <w:tblPr>
              <w:tblW w:type="dxa" w:w="699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090"/>
              <w:gridCol w:w="1900"/>
            </w:tblGrid>
            <w:tr>
              <w:tc>
                <w:tcPr>
                  <w:tcW w:type="dxa" w:w="509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3A1521"/>
                      <w:sz w:val="20"/>
                      <w:szCs w:val="20"/>
                    </w:rPr>
                    <w:t xml:space="preserve">Business Analyst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B95A3"/>
                      <w:sz w:val="18"/>
                      <w:szCs w:val="18"/>
                    </w:rPr>
                    <w:t xml:space="preserve">2016 – 2019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9B3A4C"/>
                <w:sz w:val="19"/>
                <w:szCs w:val="19"/>
              </w:rPr>
              <w:t xml:space="preserve">NCR Corporation — Atlanta, GA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14E"/>
                <w:sz w:val="19"/>
                <w:szCs w:val="19"/>
              </w:rPr>
              <w:t xml:space="preserve">Gathered requirements and ran UAT for retail POS software releases.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14E"/>
                <w:sz w:val="19"/>
                <w:szCs w:val="19"/>
              </w:rPr>
              <w:t xml:space="preserve">Built requirements-traceability matrices linking 300+ requirements to test cases.</w:t>
            </w:r>
          </w:p>
          <w:p>
            <w:pPr>
              <w:spacing w:after="110"/>
            </w:pPr>
          </w:p>
          <w:tbl>
            <w:tblPr>
              <w:tblW w:type="dxa" w:w="699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090"/>
              <w:gridCol w:w="1900"/>
            </w:tblGrid>
            <w:tr>
              <w:tc>
                <w:tcPr>
                  <w:tcW w:type="dxa" w:w="509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3A1521"/>
                      <w:sz w:val="20"/>
                      <w:szCs w:val="20"/>
                    </w:rPr>
                    <w:t xml:space="preserve">Junior Business Analyst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B95A3"/>
                      <w:sz w:val="18"/>
                      <w:szCs w:val="18"/>
                    </w:rPr>
                    <w:t xml:space="preserve">2014 – 2016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9B3A4C"/>
                <w:sz w:val="19"/>
                <w:szCs w:val="19"/>
              </w:rPr>
              <w:t xml:space="preserve">Cox Communications — Atlanta, GA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14E"/>
                <w:sz w:val="19"/>
                <w:szCs w:val="19"/>
              </w:rPr>
              <w:t xml:space="preserve">Documented as-is processes and supported senior BAs on requirements workshops.</w:t>
            </w:r>
          </w:p>
          <w:p>
            <w:pPr>
              <w:spacing w:after="40"/>
            </w:pP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A414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nimeesl3fenqdzuzitcs0" Type="http://schemas.openxmlformats.org/officeDocument/2006/relationships/hyperlink" Target="mailto:david.kim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2026-06-17T19:16:58.309Z</dcterms:created>
  <dcterms:modified xsi:type="dcterms:W3CDTF">2026-06-17T19:16:58.309Z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