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4432C"/>
          <w:sz w:val="54"/>
          <w:szCs w:val="54"/>
        </w:rPr>
        <w:t xml:space="preserve">Elena Vásquez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9A7B2E"/>
          <w:spacing w:val="42"/>
          <w:sz w:val="18"/>
          <w:szCs w:val="18"/>
        </w:rPr>
        <w:t xml:space="preserve">FINANCIAL BUSINESS ANALYST</w:t>
      </w:r>
    </w:p>
    <w:p>
      <w:pPr>
        <w:pBdr>
          <w:bottom w:val="single" w:color="14432C" w:sz="14" w:space="8"/>
        </w:pBdr>
        <w:spacing w:after="18"/>
        <w:jc w:val="center"/>
      </w:pPr>
      <w:r>
        <w:rPr>
          <w:rFonts w:ascii="Calibri" w:cs="Calibri" w:eastAsia="Calibri" w:hAnsi="Calibri"/>
          <w:color w:val="585548"/>
          <w:sz w:val="18"/>
          <w:szCs w:val="18"/>
        </w:rPr>
        <w:t xml:space="preserve">New York, NY · (212) 555-0174 · </w:t>
      </w:r>
      <w:hyperlink w:history="1" r:id="rIddjua72a5u0yu4isrmazad">
        <w:r>
          <w:rPr>
            <w:rFonts w:ascii="Calibri" w:cs="Calibri" w:eastAsia="Calibri" w:hAnsi="Calibri"/>
            <w:color w:val="9A7B2E"/>
            <w:sz w:val="18"/>
            <w:szCs w:val="18"/>
            <w:u w:val="single"/>
          </w:rPr>
          <w:t xml:space="preserve">elena.vasquez@email.com</w:t>
        </w:r>
      </w:hyperlink>
      <w:r>
        <w:rPr>
          <w:rFonts w:ascii="Calibri" w:cs="Calibri" w:eastAsia="Calibri" w:hAnsi="Calibri"/>
          <w:color w:val="585548"/>
          <w:sz w:val="18"/>
          <w:szCs w:val="18"/>
        </w:rPr>
        <w:t xml:space="preserve"> · in/elenavasquez</w:t>
      </w:r>
    </w:p>
    <w:p>
      <w:pPr>
        <w:spacing w:after="160" w:before="140"/>
        <w:jc w:val="center"/>
      </w:pPr>
      <w:r>
        <w:rPr>
          <w:rFonts w:ascii="Calibri" w:cs="Calibri" w:eastAsia="Calibri" w:hAnsi="Calibri"/>
          <w:color w:val="383B32"/>
          <w:sz w:val="20"/>
          <w:szCs w:val="20"/>
        </w:rPr>
        <w:t xml:space="preserve">Financial business analyst with 9 years connecting finance, operations, and technology. I translate business problems into data-backed requirements, build financial models, and drive process improvements that protect margin and inform investment decisions.</w:t>
      </w:r>
    </w:p>
    <w:tbl>
      <w:tblPr>
        <w:tblW w:type="dxa" w:w="10440"/>
        <w:tblBorders>
          <w:top w:val="single" w:color="D8E0D6" w:sz="4"/>
          <w:left w:val="none"/>
          <w:bottom w:val="single" w:color="D8E0D6" w:sz="4"/>
          <w:right w:val="none"/>
          <w:insideH w:val="none"/>
          <w:insideV w:val="none"/>
        </w:tblBorders>
        <w:tblLayout w:type="fixed"/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D8E0D6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432C"/>
                <w:sz w:val="30"/>
                <w:szCs w:val="30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COST REDUCTIONS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D8E0D6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432C"/>
                <w:sz w:val="30"/>
                <w:szCs w:val="30"/>
              </w:rPr>
              <w:t xml:space="preserve">50+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MODELS BUILT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432C"/>
                <w:sz w:val="30"/>
                <w:szCs w:val="30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40"/>
      </w:pPr>
    </w:p>
    <w:p>
      <w:pPr>
        <w:pBdr>
          <w:bottom w:val="single" w:color="E6DCC2" w:sz="8" w:space="3"/>
        </w:pBdr>
        <w:spacing w:after="90" w:before="220"/>
      </w:pPr>
      <w:r>
        <w:rPr>
          <w:rFonts w:ascii="Calibri" w:cs="Calibri" w:eastAsia="Calibri" w:hAnsi="Calibri"/>
          <w:b/>
          <w:bCs/>
          <w:color w:val="14432C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Senior Financial Analyst (BA)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Partner with business units to define requirements for financial reporting and forecasting systems.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Built models and analyses that identified $8M in annual cost reductions.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Led the requirements effort for a budgeting-tool migration adopted by 400+ users.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Business Analyst — Finance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Analyzed P&amp;L drivers and documented requirements for revenue-reporting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Reduced monthly close cycle by 4 days through a redesigned data workflow.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Financial Analyst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Supported client financial analysis, variance reporting, and process documentation.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4432C"/>
                <w:spacing w:val="18"/>
                <w:sz w:val="18"/>
                <w:szCs w:val="18"/>
              </w:rPr>
              <w:t xml:space="preserve">SKILLS &amp; 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CBAP® · CFA Level II Candidate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Financial Modeling · Forecasting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Requirements Analysis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Variance &amp; P&amp;L Analysis · Process Improvement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4432C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Advanced Excel · SQL · Tableau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SAP · Hyperion · Jira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B.S. Finance — NYU Stern · 2013</w:t>
            </w:r>
          </w:p>
        </w:tc>
      </w:tr>
    </w:tbl>
    <w:sectPr>
      <w:pgSz w:w="12240" w:h="15840" w:orient="portrait"/>
      <w:pgMar w:top="840" w:right="900" w:bottom="7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3B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jua72a5u0yu4isrmazad" Type="http://schemas.openxmlformats.org/officeDocument/2006/relationships/hyperlink" Target="mailto:elena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2026-06-17T19:16:58.313Z</dcterms:created>
  <dcterms:modified xsi:type="dcterms:W3CDTF">2026-06-17T19:16:58.313Z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