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4080"/>
        <w:gridCol w:w="4080"/>
      </w:tblGrid>
      <w:tr>
        <w:tc>
          <w:tcPr>
            <w:tcW w:type="dxa" w:w="12240"/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A86" w:color="auto" w:val="clear"/>
            <w:tcMar>
              <w:top w:type="dxa" w:w="540"/>
              <w:left w:type="dxa" w:w="840"/>
              <w:bottom w:type="dxa" w:w="420"/>
              <w:right w:type="dxa" w:w="84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sz w:val="53"/>
                <w:szCs w:val="53"/>
              </w:rPr>
              <w:t xml:space="preserve">Jordan Brooks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b/>
                <w:bCs/>
                <w:color w:val="D4B8EC"/>
                <w:spacing w:val="28"/>
                <w:sz w:val="18"/>
                <w:szCs w:val="18"/>
              </w:rPr>
              <w:t xml:space="preserve">AGILE BUSINESS ANALYST · PRODUCT OWNER</w:t>
            </w:r>
          </w:p>
          <w:p>
            <w:pPr>
              <w:spacing w:after="0" w:before="150"/>
            </w:pPr>
            <w:r>
              <w:rPr>
                <w:rFonts w:ascii="Calibri" w:cs="Calibri" w:eastAsia="Calibri" w:hAnsi="Calibri"/>
                <w:color w:val="E0CEF0"/>
                <w:sz w:val="18"/>
                <w:szCs w:val="18"/>
              </w:rPr>
              <w:t xml:space="preserve">Austin, TX · (512) 555-0129 · </w:t>
            </w:r>
            <w:hyperlink w:history="1" r:id="rIdo5wcfzp1ej_6gwr69hcgy">
              <w:r>
                <w:rPr>
                  <w:rFonts w:ascii="Calibri" w:cs="Calibri" w:eastAsia="Calibri" w:hAnsi="Calibri"/>
                  <w:color w:val="FFFFFF"/>
                  <w:sz w:val="18"/>
                  <w:szCs w:val="18"/>
                  <w:u w:val="single"/>
                </w:rPr>
                <w:t xml:space="preserve">jordan.brooks@email.com</w:t>
              </w:r>
            </w:hyperlink>
            <w:r>
              <w:rPr>
                <w:rFonts w:ascii="Calibri" w:cs="Calibri" w:eastAsia="Calibri" w:hAnsi="Calibri"/>
                <w:color w:val="E0CEF0"/>
                <w:sz w:val="18"/>
                <w:szCs w:val="18"/>
              </w:rPr>
              <w:t xml:space="preserve"> · in/jordanbrooks</w:t>
            </w:r>
          </w:p>
        </w:tc>
      </w:tr>
      <w:tr>
        <w:trPr>
          <w:trHeight w:val="11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8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8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8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 w:line="9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200" w:before="340"/>
        <w:ind w:left="840" w:right="840"/>
      </w:pPr>
      <w:r>
        <w:rPr>
          <w:rFonts w:ascii="Calibri" w:cs="Calibri" w:eastAsia="Calibri" w:hAnsi="Calibri"/>
          <w:color w:val="3D3747"/>
          <w:sz w:val="20"/>
          <w:szCs w:val="20"/>
        </w:rPr>
        <w:t xml:space="preserve">Agile business analyst and product owner with 8 years connecting users, stakeholders, and dev teams. I own the backlog, write crisp user stories, and keep delivery focused on outcomes — turning customer needs into shipped features that move the metrics that matter.</w:t>
      </w: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42"/>
        <w:gridCol w:w="130"/>
        <w:gridCol w:w="2542"/>
        <w:gridCol w:w="130"/>
        <w:gridCol w:w="2542"/>
        <w:gridCol w:w="130"/>
        <w:gridCol w:w="2542"/>
      </w:tblGrid>
      <w:tr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6"/>
                <w:szCs w:val="26"/>
              </w:rPr>
              <w:t xml:space="preserve">600+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STORIES WRITTEN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6"/>
                <w:szCs w:val="26"/>
              </w:rPr>
              <w:t xml:space="preserve">+45%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FEATURE ADOPTION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6"/>
                <w:szCs w:val="26"/>
              </w:rPr>
              <w:t xml:space="preserve">4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PRODUCT SQUADS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4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ECFB" w:color="auto" w:val="clear"/>
            <w:tcMar>
              <w:top w:type="dxa" w:w="150"/>
              <w:left w:type="dxa" w:w="40"/>
              <w:bottom w:type="dxa" w:w="150"/>
              <w:right w:type="dxa" w:w="4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3AED"/>
                <w:sz w:val="26"/>
                <w:szCs w:val="26"/>
              </w:rPr>
              <w:t xml:space="preserve">8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6E667A"/>
                <w:spacing w:val="6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160"/>
      </w:pPr>
    </w:p>
    <w:tbl>
      <w:tblPr>
        <w:tblW w:type="dxa" w:w="10560"/>
        <w:tblInd w:type="dxa" w:w="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336"/>
        <w:gridCol w:w="220"/>
        <w:gridCol w:w="4004"/>
      </w:tblGrid>
      <w:tr>
        <w:tc>
          <w:tcPr>
            <w:tcW w:type="dxa" w:w="63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2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9"/>
                <w:szCs w:val="19"/>
              </w:rPr>
              <w:t xml:space="preserve">EXPERIENCE</w:t>
            </w: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235"/>
                      <w:sz w:val="20"/>
                      <w:szCs w:val="20"/>
                    </w:rPr>
                    <w:t xml:space="preserve">Product Owner / Senior BA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9"/>
                <w:szCs w:val="19"/>
              </w:rPr>
              <w:t xml:space="preserve">Indeed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Own the backlog for a 12-person squad; prioritized a roadmap that lifted feature adoption 45%.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Run discovery with users and stakeholders, translating findings into clear, testable stories.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Partner with design and engineering through refinement, demos, and release planning.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235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9"/>
                <w:szCs w:val="19"/>
              </w:rPr>
              <w:t xml:space="preserve">Bazaarvoice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Wrote requirements and acceptance criteria for 2 Scrum teams; cut rework 30%.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Built dashboards to track feature performance against success metrics.</w:t>
            </w:r>
          </w:p>
          <w:p>
            <w:pPr>
              <w:spacing w:after="110"/>
            </w:pPr>
          </w:p>
          <w:tbl>
            <w:tblPr>
              <w:tblW w:type="dxa" w:w="61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216"/>
              <w:gridCol w:w="1900"/>
            </w:tblGrid>
            <w:tr>
              <w:tc>
                <w:tcPr>
                  <w:tcW w:type="dxa" w:w="4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235"/>
                      <w:sz w:val="20"/>
                      <w:szCs w:val="20"/>
                    </w:rPr>
                    <w:t xml:space="preserve">Associate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D95A9"/>
                      <w:sz w:val="18"/>
                      <w:szCs w:val="18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7C3AED"/>
                <w:sz w:val="19"/>
                <w:szCs w:val="19"/>
              </w:rPr>
              <w:t xml:space="preserve">RetailMeNot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747"/>
                <w:sz w:val="19"/>
                <w:szCs w:val="19"/>
              </w:rPr>
              <w:t xml:space="preserve">Supported product teams with user research, story writing, and backlog grooming.</w:t>
            </w:r>
          </w:p>
          <w:p>
            <w:pPr>
              <w:spacing w:after="0"/>
            </w:pPr>
          </w:p>
        </w:tc>
        <w:tc>
          <w:tcPr>
            <w:tcW w:type="dxa" w:w="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0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70" w:before="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8"/>
                <w:szCs w:val="18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Certified Scrum Product Owner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PMI-PBA® · IIBA-AAC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(Agile Analysis Certification)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8"/>
                <w:szCs w:val="18"/>
              </w:rPr>
              <w:t xml:space="preserve">AGILE SKILLS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Backlog Management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User Story Mapping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Sprint Planning · Refinement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Stakeholder Discovery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Acceptance Criteria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8"/>
                <w:szCs w:val="18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826C0"/>
                <w:sz w:val="17"/>
                <w:szCs w:val="17"/>
                <w:shd w:fill="F2E9FB" w:color="auto" w:val="clear"/>
              </w:rPr>
              <w:t xml:space="preserve"> Jira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826C0"/>
                <w:sz w:val="17"/>
                <w:szCs w:val="17"/>
                <w:shd w:fill="F2E9FB" w:color="auto" w:val="clear"/>
              </w:rPr>
              <w:t xml:space="preserve"> Aha!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826C0"/>
                <w:sz w:val="17"/>
                <w:szCs w:val="17"/>
                <w:shd w:fill="F2E9FB" w:color="auto" w:val="clear"/>
              </w:rPr>
              <w:t xml:space="preserve"> Figma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826C0"/>
                <w:sz w:val="17"/>
                <w:szCs w:val="17"/>
                <w:shd w:fill="F2E9FB" w:color="auto" w:val="clear"/>
              </w:rPr>
              <w:t xml:space="preserve"> Amplitude </w:t>
            </w:r>
            <w:r>
              <w:rPr>
                <w:rFonts w:ascii="Calibri" w:cs="Calibri" w:eastAsia="Calibri" w:hAnsi="Calibri"/>
                <w:sz w:val="9"/>
                <w:szCs w:val="9"/>
              </w:rPr>
              <w:t xml:space="preserve"> </w:t>
            </w:r>
            <w:r>
              <w:rPr>
                <w:rFonts w:ascii="Calibri" w:cs="Calibri" w:eastAsia="Calibri" w:hAnsi="Calibri"/>
                <w:color w:val="6826C0"/>
                <w:sz w:val="17"/>
                <w:szCs w:val="17"/>
                <w:shd w:fill="F2E9FB" w:color="auto" w:val="clear"/>
              </w:rPr>
              <w:t xml:space="preserve"> SQL </w:t>
            </w:r>
          </w:p>
          <w:p>
            <w:pPr>
              <w:spacing w:after="70" w:before="170"/>
            </w:pPr>
            <w:r>
              <w:rPr>
                <w:rFonts w:ascii="Calibri" w:cs="Calibri" w:eastAsia="Calibri" w:hAnsi="Calibri"/>
                <w:b/>
                <w:bCs/>
                <w:color w:val="7C3AED"/>
                <w:spacing w:val="18"/>
                <w:sz w:val="18"/>
                <w:szCs w:val="18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B.B.A. Business Analytics</w:t>
            </w: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br/>
              <w:t xml:space="preserve">UT Austin · 2015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74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o5wcfzp1ej_6gwr69hcgy" Type="http://schemas.openxmlformats.org/officeDocument/2006/relationships/hyperlink" Target="mailto:jordan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2026-06-17T19:16:58.328Z</dcterms:created>
  <dcterms:modified xsi:type="dcterms:W3CDTF">2026-06-17T19:16:58.328Z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