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16283A"/>
          <w:sz w:val="51"/>
          <w:szCs w:val="51"/>
        </w:rPr>
        <w:t xml:space="preserve">Ashley Nguyen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2F6DB0"/>
          <w:spacing w:val="14"/>
          <w:sz w:val="16"/>
          <w:szCs w:val="16"/>
        </w:rPr>
        <w:t xml:space="preserve">CERTIFIED NURSING ASSISTANT · NEW GRADUATE</w:t>
      </w:r>
    </w:p>
    <w:p>
      <w:pPr>
        <w:pBdr>
          <w:bottom w:val="single" w:color="CFDEEF" w:sz="8"/>
        </w:pBdr>
        <w:spacing w:after="0"/>
        <w:jc w:val="center"/>
      </w:pPr>
      <w:r>
        <w:rPr>
          <w:rFonts w:ascii="Calibri" w:cs="Calibri" w:eastAsia="Calibri" w:hAnsi="Calibri"/>
          <w:color w:val="7A8898"/>
          <w:sz w:val="17"/>
          <w:szCs w:val="17"/>
        </w:rPr>
        <w:t xml:space="preserve">San Diego, CA 92101  ·  (619) 555-0192  ·  </w:t>
      </w:r>
      <w:hyperlink w:history="1" r:id="rIdh3biz6lqcixwthr56tavx">
        <w:r>
          <w:rPr>
            <w:rFonts w:ascii="Calibri" w:cs="Calibri" w:eastAsia="Calibri" w:hAnsi="Calibri"/>
            <w:color w:val="2F6DB0"/>
            <w:sz w:val="17"/>
            <w:szCs w:val="17"/>
            <w:u w:val="single"/>
          </w:rPr>
          <w:t xml:space="preserve">ashley.nguyen@email.com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single" w:color="2F6DB0" w:sz="18"/>
              <w:bottom w:val="none"/>
              <w:right w:val="none"/>
            </w:tcBorders>
            <w:shd w:fill="EAF1FA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Newly certified CNA (2025) seeking a first role in long-term or acute care. Completed 120 clinical hours with hands-on ADL, vitals, and safe-transfer experience. Compassionate, reliable, and eager to learn from an experienced nursing team.</w:t>
            </w:r>
          </w:p>
        </w:tc>
      </w:tr>
    </w:tbl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40"/>
        <w:gridCol w:w="2595"/>
        <w:gridCol w:w="140"/>
        <w:gridCol w:w="2595"/>
        <w:gridCol w:w="140"/>
        <w:gridCol w:w="2595"/>
      </w:tblGrid>
      <w:tr>
        <w:tc>
          <w:tcPr>
            <w:tcW w:type="dxa" w:w="2595"/>
            <w:tcBorders>
              <w:top w:val="single" w:color="CFDEEF" w:sz="4"/>
              <w:left w:val="single" w:color="2F6DB0" w:sz="18"/>
              <w:bottom w:val="single" w:color="CFDEEF" w:sz="4"/>
              <w:right w:val="single" w:color="CFDEEF" w:sz="4"/>
            </w:tcBorders>
            <w:shd w:fill="EAF1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2F6DB0"/>
                <w:sz w:val="24"/>
                <w:szCs w:val="24"/>
              </w:rPr>
              <w:t xml:space="preserve">CNA</w:t>
            </w:r>
          </w:p>
          <w:p>
            <w:r>
              <w:rPr>
                <w:rFonts w:ascii="Calibri" w:cs="Calibri" w:eastAsia="Calibri" w:hAnsi="Calibri"/>
                <w:color w:val="7A8898"/>
                <w:sz w:val="14"/>
                <w:szCs w:val="14"/>
              </w:rPr>
              <w:t xml:space="preserve">Certified · CA #...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DEEF" w:sz="4"/>
              <w:left w:val="single" w:color="2F6DB0" w:sz="18"/>
              <w:bottom w:val="single" w:color="CFDEEF" w:sz="4"/>
              <w:right w:val="single" w:color="CFDEEF" w:sz="4"/>
            </w:tcBorders>
            <w:shd w:fill="EAF1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2F6DB0"/>
                <w:sz w:val="24"/>
                <w:szCs w:val="24"/>
              </w:rPr>
              <w:t xml:space="preserve">BLS</w:t>
            </w:r>
          </w:p>
          <w:p>
            <w:r>
              <w:rPr>
                <w:rFonts w:ascii="Calibri" w:cs="Calibri" w:eastAsia="Calibri" w:hAnsi="Calibri"/>
                <w:color w:val="7A8898"/>
                <w:sz w:val="14"/>
                <w:szCs w:val="14"/>
              </w:rPr>
              <w:t xml:space="preserve">CPR / BLS (AHA)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DEEF" w:sz="4"/>
              <w:left w:val="single" w:color="2F6DB0" w:sz="18"/>
              <w:bottom w:val="single" w:color="CFDEEF" w:sz="4"/>
              <w:right w:val="single" w:color="CFDEEF" w:sz="4"/>
            </w:tcBorders>
            <w:shd w:fill="EAF1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2F6DB0"/>
                <w:sz w:val="24"/>
                <w:szCs w:val="24"/>
              </w:rPr>
              <w:t xml:space="preserve">120</w:t>
            </w:r>
          </w:p>
          <w:p>
            <w:r>
              <w:rPr>
                <w:rFonts w:ascii="Calibri" w:cs="Calibri" w:eastAsia="Calibri" w:hAnsi="Calibri"/>
                <w:color w:val="7A8898"/>
                <w:sz w:val="14"/>
                <w:szCs w:val="14"/>
              </w:rPr>
              <w:t xml:space="preserve">Clinical Hours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DEEF" w:sz="4"/>
              <w:left w:val="single" w:color="2F6DB0" w:sz="18"/>
              <w:bottom w:val="single" w:color="CFDEEF" w:sz="4"/>
              <w:right w:val="single" w:color="CFDEEF" w:sz="4"/>
            </w:tcBorders>
            <w:shd w:fill="EAF1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2F6DB0"/>
                <w:sz w:val="24"/>
                <w:szCs w:val="24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7A8898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60"/>
      </w:pPr>
    </w:p>
    <w:p>
      <w:pPr>
        <w:spacing w:after="140" w:before="200"/>
      </w:pPr>
      <w:r>
        <w:rPr>
          <w:rFonts w:ascii="Trebuchet MS" w:cs="Trebuchet MS" w:eastAsia="Trebuchet MS" w:hAnsi="Trebuchet MS"/>
          <w:b/>
          <w:bCs/>
          <w:color w:val="2F6DB0"/>
          <w:sz w:val="23"/>
          <w:szCs w:val="23"/>
        </w:rPr>
        <w:t xml:space="preserve">Education &amp; Training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A"/>
                <w:sz w:val="20"/>
                <w:szCs w:val="20"/>
              </w:rPr>
              <w:t xml:space="preserve">Certified Nursing Assistant Program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F6DB0"/>
          <w:sz w:val="18"/>
          <w:szCs w:val="18"/>
        </w:rPr>
        <w:t xml:space="preserve">San Diego City College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Passed the state certification exam on the first attempt.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Completed a 120-hour clinical rotation in a skilled-nursing facility; praised for compassion and work ethic.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Coursework: anatomy &amp; physiology, infection control, body mechanics, patient rights and HIPAA.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A"/>
                <w:sz w:val="20"/>
                <w:szCs w:val="20"/>
              </w:rPr>
              <w:t xml:space="preserve">CNA Clinical Rotation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F6DB0"/>
          <w:sz w:val="18"/>
          <w:szCs w:val="18"/>
        </w:rPr>
        <w:t xml:space="preserve">Villa La Patrona Healthcare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Provided ADL care, took vitals, and assisted with transfers and feeding under RN supervision.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Documented care and practiced infection control and proper hand hygiene.</w:t>
      </w:r>
    </w:p>
    <w:p>
      <w:pPr>
        <w:spacing w:after="80"/>
      </w:pPr>
    </w:p>
    <w:p>
      <w:pPr>
        <w:spacing w:after="140" w:before="80"/>
      </w:pPr>
      <w:r>
        <w:rPr>
          <w:rFonts w:ascii="Trebuchet MS" w:cs="Trebuchet MS" w:eastAsia="Trebuchet MS" w:hAnsi="Trebuchet MS"/>
          <w:b/>
          <w:bCs/>
          <w:color w:val="2F6DB0"/>
          <w:sz w:val="23"/>
          <w:szCs w:val="23"/>
        </w:rPr>
        <w:t xml:space="preserve">Clinical &amp; Work 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A"/>
                <w:sz w:val="20"/>
                <w:szCs w:val="20"/>
              </w:rPr>
              <w:t xml:space="preserve">Caregiver (Part-Time)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F6DB0"/>
          <w:sz w:val="18"/>
          <w:szCs w:val="18"/>
        </w:rPr>
        <w:t xml:space="preserve">Private Family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Provided daily care and companionship for an elderly family member; meals, mobility, and reminders.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A"/>
                <w:sz w:val="20"/>
                <w:szCs w:val="20"/>
              </w:rPr>
              <w:t xml:space="preserve">Retail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F6DB0"/>
          <w:sz w:val="18"/>
          <w:szCs w:val="18"/>
        </w:rPr>
        <w:t xml:space="preserve">CVS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Built customer service, communication, and dependability skills in a fast-paced setting.</w:t>
      </w:r>
    </w:p>
    <w:p>
      <w:pPr>
        <w:spacing w:after="80"/>
      </w:pPr>
    </w:p>
    <w:tbl>
      <w:tblPr>
        <w:tblW w:type="dxa" w:w="10800"/>
        <w:tblBorders>
          <w:top w:val="single" w:color="CFDE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Compassion · Eagerness to Learn · Dependability · Teamwork · Bilingual (English/Vietnamese)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CNA — State of California · BLS/CPR (AHA) · 120 Clinical Hours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3biz6lqcixwthr56tavx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2026-06-22T21:01:24.635Z</dcterms:created>
  <dcterms:modified xsi:type="dcterms:W3CDTF">2026-06-22T21:01:24.635Z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