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40"/>
        <w:gridCol w:w="4000"/>
      </w:tblGrid>
      <w:tr>
        <w:tc>
          <w:tcPr>
            <w:tcW w:type="dxa" w:w="8240"/>
            <w:tcBorders>
              <w:top w:val="none"/>
              <w:left w:val="none"/>
              <w:bottom w:val="none"/>
              <w:right w:val="none"/>
            </w:tcBorders>
            <w:shd w:fill="3A1D24" w:color="auto" w:val="clear"/>
            <w:tcMar>
              <w:top w:type="dxa" w:w="460"/>
              <w:left w:type="dxa" w:w="700"/>
              <w:bottom w:type="dxa" w:w="430"/>
              <w:right w:type="dxa" w:w="60"/>
            </w:tcMar>
            <w:vAlign w:val="bottom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C2925A"/>
                <w:spacing w:val="6"/>
                <w:sz w:val="15"/>
                <w:szCs w:val="15"/>
              </w:rPr>
              <w:t xml:space="preserve">CHIEF OF STAFF · OFFICE OF THE PRESIDENT</w:t>
            </w:r>
          </w:p>
          <w:p>
            <w:r>
              <w:rPr>
                <w:rFonts w:ascii="Georgia" w:cs="Georgia" w:eastAsia="Georgia" w:hAnsi="Georgia"/>
                <w:b/>
                <w:bCs/>
                <w:color w:val="FFFFFF"/>
                <w:sz w:val="60"/>
                <w:szCs w:val="60"/>
              </w:rPr>
              <w:t xml:space="preserve">Robert Sinclair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3A1D24" w:color="auto" w:val="clear"/>
            <w:tcMar>
              <w:top w:type="dxa" w:w="460"/>
              <w:left w:type="dxa" w:w="60"/>
              <w:bottom w:type="dxa" w:w="450"/>
              <w:right w:type="dxa" w:w="70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br/>
              <w:t xml:space="preserve">(212)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ylv0j_wuftzoqd1p7d9b4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r.sinclair@email.com</w:t>
              </w:r>
            </w:hyperlink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br/>
              <w:t xml:space="preserve">in/robertsinclair</w:t>
            </w:r>
          </w:p>
        </w:tc>
      </w:tr>
    </w:tbl>
    <w:p>
      <w:pPr>
        <w:spacing w:after="180" w:before="240"/>
        <w:ind w:left="700" w:right="700"/>
      </w:pPr>
      <w:r>
        <w:rPr>
          <w:rFonts w:ascii="Calibri" w:cs="Calibri" w:eastAsia="Calibri" w:hAnsi="Calibri"/>
          <w:color w:val="33405A"/>
          <w:sz w:val="20"/>
          <w:szCs w:val="20"/>
        </w:rPr>
        <w:t xml:space="preserve">Enterprise Chief of Staff who runs the leadership operating system for a Fortune 500 division. Fourteen years bringing rigor and rhythm to the executive office — orchestrating planning, governance, and communications so a 5,000-person organization stays aligned and moving. The steady hand behind the President.</w:t>
      </w:r>
    </w:p>
    <w:tbl>
      <w:tblPr>
        <w:tblW w:type="dxa" w:w="10840"/>
        <w:tblInd w:type="dxa" w:w="700"/>
        <w:tblBorders>
          <w:top w:val="single" w:color="DFE3EC" w:sz="4"/>
          <w:left w:val="single" w:color="DFE3EC" w:sz="4"/>
          <w:bottom w:val="single" w:color="DFE3EC" w:sz="4"/>
          <w:right w:val="single" w:color="DFE3EC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spacing w:after="150" w:before="0"/>
            </w:pPr>
            <w:r>
              <w:rPr>
                <w:rFonts w:ascii="Calibri" w:cs="Calibri" w:eastAsia="Calibri" w:hAnsi="Calibri"/>
                <w:b/>
                <w:bCs/>
                <w:color w:val="16243F"/>
                <w:spacing w:val="6"/>
                <w:sz w:val="15"/>
                <w:szCs w:val="15"/>
              </w:rPr>
              <w:t xml:space="preserve">THE OPERATING CADENCE I RUN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75"/>
              <w:gridCol w:w="180"/>
              <w:gridCol w:w="2475"/>
              <w:gridCol w:w="180"/>
              <w:gridCol w:w="2475"/>
              <w:gridCol w:w="180"/>
              <w:gridCol w:w="2475"/>
            </w:tblGrid>
            <w:tr>
              <w:tc>
                <w:tcPr>
                  <w:tcW w:type="dxa" w:w="2475"/>
                  <w:tcBorders>
                    <w:top w:val="single" w:color="C2925A" w:sz="18"/>
                    <w:left w:val="none"/>
                    <w:bottom w:val="none"/>
                    <w:right w:val="none"/>
                  </w:tcBorders>
                  <w:shd w:fill="FAF6F1" w:color="auto" w:val="clear"/>
                  <w:tcMar>
                    <w:top w:type="dxa" w:w="150"/>
                    <w:left w:type="dxa" w:w="160"/>
                    <w:bottom w:type="dxa" w:w="150"/>
                    <w:right w:type="dxa" w:w="12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6243F"/>
                      <w:sz w:val="20"/>
                      <w:szCs w:val="20"/>
                    </w:rPr>
                    <w:t xml:space="preserve">Daily</w:t>
                  </w:r>
                </w:p>
                <w:p>
                  <w:pPr>
                    <w:spacing w:before="50" w:line="260" w:lineRule="atLeast"/>
                  </w:pPr>
                  <w:r>
                    <w:rPr>
                      <w:rFonts w:ascii="Calibri" w:cs="Calibri" w:eastAsia="Calibri" w:hAnsi="Calibri"/>
                      <w:color w:val="5D6477"/>
                      <w:sz w:val="16"/>
                      <w:szCs w:val="16"/>
                    </w:rPr>
                    <w:t xml:space="preserve">Exec triage · priorities · briefings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475"/>
                  <w:tcBorders>
                    <w:top w:val="single" w:color="C2925A" w:sz="18"/>
                    <w:left w:val="none"/>
                    <w:bottom w:val="none"/>
                    <w:right w:val="none"/>
                  </w:tcBorders>
                  <w:shd w:fill="FAF6F1" w:color="auto" w:val="clear"/>
                  <w:tcMar>
                    <w:top w:type="dxa" w:w="150"/>
                    <w:left w:type="dxa" w:w="160"/>
                    <w:bottom w:type="dxa" w:w="150"/>
                    <w:right w:type="dxa" w:w="12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6243F"/>
                      <w:sz w:val="20"/>
                      <w:szCs w:val="20"/>
                    </w:rPr>
                    <w:t xml:space="preserve">Weekly</w:t>
                  </w:r>
                </w:p>
                <w:p>
                  <w:pPr>
                    <w:spacing w:before="50" w:line="260" w:lineRule="atLeast"/>
                  </w:pPr>
                  <w:r>
                    <w:rPr>
                      <w:rFonts w:ascii="Calibri" w:cs="Calibri" w:eastAsia="Calibri" w:hAnsi="Calibri"/>
                      <w:color w:val="5D6477"/>
                      <w:sz w:val="16"/>
                      <w:szCs w:val="16"/>
                    </w:rPr>
                    <w:t xml:space="preserve">Leadership staff · action tracking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475"/>
                  <w:tcBorders>
                    <w:top w:val="single" w:color="C2925A" w:sz="18"/>
                    <w:left w:val="none"/>
                    <w:bottom w:val="none"/>
                    <w:right w:val="none"/>
                  </w:tcBorders>
                  <w:shd w:fill="FAF6F1" w:color="auto" w:val="clear"/>
                  <w:tcMar>
                    <w:top w:type="dxa" w:w="150"/>
                    <w:left w:type="dxa" w:w="160"/>
                    <w:bottom w:type="dxa" w:w="150"/>
                    <w:right w:type="dxa" w:w="12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6243F"/>
                      <w:sz w:val="20"/>
                      <w:szCs w:val="20"/>
                    </w:rPr>
                    <w:t xml:space="preserve">Monthly</w:t>
                  </w:r>
                </w:p>
                <w:p>
                  <w:pPr>
                    <w:spacing w:before="50" w:line="260" w:lineRule="atLeast"/>
                  </w:pPr>
                  <w:r>
                    <w:rPr>
                      <w:rFonts w:ascii="Calibri" w:cs="Calibri" w:eastAsia="Calibri" w:hAnsi="Calibri"/>
                      <w:color w:val="5D6477"/>
                      <w:sz w:val="16"/>
                      <w:szCs w:val="16"/>
                    </w:rPr>
                    <w:t xml:space="preserve">Business review · metrics · risks</w:t>
                  </w:r>
                </w:p>
              </w:tc>
              <w:tc>
                <w:tcPr>
                  <w:tcW w:type="dxa" w:w="18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475"/>
                  <w:tcBorders>
                    <w:top w:val="single" w:color="C2925A" w:sz="18"/>
                    <w:left w:val="none"/>
                    <w:bottom w:val="none"/>
                    <w:right w:val="none"/>
                  </w:tcBorders>
                  <w:shd w:fill="FAF6F1" w:color="auto" w:val="clear"/>
                  <w:tcMar>
                    <w:top w:type="dxa" w:w="150"/>
                    <w:left w:type="dxa" w:w="160"/>
                    <w:bottom w:type="dxa" w:w="150"/>
                    <w:right w:type="dxa" w:w="120"/>
                  </w:tcMar>
                  <w:vAlign w:val="top"/>
                </w:tcPr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16243F"/>
                      <w:sz w:val="20"/>
                      <w:szCs w:val="20"/>
                    </w:rPr>
                    <w:t xml:space="preserve">Quarterly</w:t>
                  </w:r>
                </w:p>
                <w:p>
                  <w:pPr>
                    <w:spacing w:before="50" w:line="260" w:lineRule="atLeast"/>
                  </w:pPr>
                  <w:r>
                    <w:rPr>
                      <w:rFonts w:ascii="Calibri" w:cs="Calibri" w:eastAsia="Calibri" w:hAnsi="Calibri"/>
                      <w:color w:val="5D6477"/>
                      <w:sz w:val="16"/>
                      <w:szCs w:val="16"/>
                    </w:rPr>
                    <w:t xml:space="preserve">QBR · board prep · planning</w:t>
                  </w:r>
                </w:p>
              </w:tc>
            </w:tr>
          </w:tbl>
          <w:p/>
        </w:tc>
      </w:tr>
    </w:tbl>
    <w:p>
      <w:pPr>
        <w:spacing w:after="200"/>
      </w:pPr>
    </w:p>
    <w:p>
      <w:pPr>
        <w:pBdr>
          <w:bottom w:val="single" w:color="C2925A" w:sz="16"/>
        </w:pBdr>
        <w:spacing w:after="120" w:before="0"/>
        <w:ind w:left="700" w:right="700"/>
      </w:pPr>
      <w:r>
        <w:rPr>
          <w:rFonts w:ascii="Georgia" w:cs="Georgia" w:eastAsia="Georgia" w:hAnsi="Georgia"/>
          <w:b/>
          <w:bCs/>
          <w:color w:val="16243F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43F"/>
                <w:sz w:val="20"/>
                <w:szCs w:val="20"/>
              </w:rPr>
              <w:t xml:space="preserve">Chief of Staff, Office of the President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50" w:before="30"/>
        <w:ind w:left="700" w:right="700"/>
      </w:pPr>
      <w:r>
        <w:rPr>
          <w:rFonts w:ascii="Calibri" w:cs="Calibri" w:eastAsia="Calibri" w:hAnsi="Calibri"/>
          <w:b/>
          <w:bCs/>
          <w:color w:val="8A5E24"/>
          <w:sz w:val="18"/>
          <w:szCs w:val="18"/>
        </w:rPr>
        <w:t xml:space="preserve">JPMorgan Chase — New York, NY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Run the operating cadence and governance for a 5,000-person division reporting to the President.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Own executive communications, town halls, and board materials; align 9 direct reports on priorities.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Lead enterprise initiatives — reorg, cost program, and a multi-year strategy refresh.</w:t>
      </w:r>
    </w:p>
    <w:p>
      <w:pPr>
        <w:spacing w:after="17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43F"/>
                <w:sz w:val="20"/>
                <w:szCs w:val="20"/>
              </w:rPr>
              <w:t xml:space="preserve">Chief of Staff, Technology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50" w:before="30"/>
        <w:ind w:left="700" w:right="700"/>
      </w:pPr>
      <w:r>
        <w:rPr>
          <w:rFonts w:ascii="Calibri" w:cs="Calibri" w:eastAsia="Calibri" w:hAnsi="Calibri"/>
          <w:b/>
          <w:bCs/>
          <w:color w:val="8A5E24"/>
          <w:sz w:val="18"/>
          <w:szCs w:val="18"/>
        </w:rPr>
        <w:t xml:space="preserve">American Express — New York, NY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Supported the CIO; ran the planning calendar, budget reviews, and leadership offsites.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Managed a portfolio of cross-functional programs to on-time delivery.</w:t>
      </w:r>
    </w:p>
    <w:p>
      <w:pPr>
        <w:spacing w:after="17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43F"/>
                <w:sz w:val="20"/>
                <w:szCs w:val="20"/>
              </w:rPr>
              <w:t xml:space="preserve">Senior Manager, Strategy &amp; Operations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2011 — 2015</w:t>
            </w:r>
          </w:p>
        </w:tc>
      </w:tr>
    </w:tbl>
    <w:p>
      <w:pPr>
        <w:spacing w:after="50" w:before="30"/>
        <w:ind w:left="700" w:right="700"/>
      </w:pPr>
      <w:r>
        <w:rPr>
          <w:rFonts w:ascii="Calibri" w:cs="Calibri" w:eastAsia="Calibri" w:hAnsi="Calibri"/>
          <w:b/>
          <w:bCs/>
          <w:color w:val="8A5E24"/>
          <w:sz w:val="18"/>
          <w:szCs w:val="18"/>
        </w:rPr>
        <w:t xml:space="preserve">Deloitte — New York, NY</w:t>
      </w:r>
    </w:p>
    <w:p>
      <w:pPr>
        <w:pStyle w:val="ListParagraph"/>
        <w:numPr>
          <w:ilvl w:val="0"/>
          <w:numId w:val="2"/>
        </w:numPr>
        <w:spacing w:after="30"/>
        <w:ind w:left="1000" w:right="700" w:hanging="16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Advised executive clients on operating-model and transformation programs.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E7E3D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7E3D8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8A5E24"/>
                <w:spacing w:val="6"/>
                <w:sz w:val="15"/>
                <w:szCs w:val="15"/>
              </w:rPr>
              <w:t xml:space="preserve">CORE STRENGTHS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5A"/>
                <w:sz w:val="18"/>
                <w:szCs w:val="18"/>
              </w:rPr>
              <w:t xml:space="preserve">Operating Cadence · Governance · Executive Comms · Program Management · Budgeting · Board Prep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8A5E24"/>
                <w:spacing w:val="6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6243F"/>
                <w:sz w:val="18"/>
                <w:szCs w:val="18"/>
              </w:rPr>
              <w:t xml:space="preserve">MBA — Columbia Business School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B.S., Finance — NYU Stern</w:t>
            </w:r>
          </w:p>
        </w:tc>
      </w:tr>
    </w:tbl>
    <w:sectPr>
      <w:pgSz w:w="12240" w:h="15840" w:orient="portrait"/>
      <w:pgMar w:top="0" w:right="0" w:bottom="62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0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lv0j_wuftzoqd1p7d9b4" Type="http://schemas.openxmlformats.org/officeDocument/2006/relationships/hyperlink" Target="mailto:r.sincl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2026-06-21T00:01:43.493Z</dcterms:created>
  <dcterms:modified xsi:type="dcterms:W3CDTF">2026-06-21T00:01:43.493Z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