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0131C" w:sz="16"/>
          <w:right w:val="none"/>
          <w:insideH w:val="none"/>
          <w:insideV w:val="none"/>
        </w:tblBorders>
        <w:tblLayout w:type="fixed"/>
      </w:tblPr>
      <w:tblGrid>
        <w:gridCol w:w="7440"/>
        <w:gridCol w:w="3400"/>
      </w:tblGrid>
      <w:t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9B3552"/>
                <w:spacing w:val="6"/>
                <w:sz w:val="15"/>
                <w:szCs w:val="15"/>
              </w:rPr>
              <w:t xml:space="preserve">CHIEF OF STAFF TO THE CEO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0131C"/>
                <w:sz w:val="60"/>
                <w:szCs w:val="60"/>
              </w:rPr>
              <w:t xml:space="preserve">Hannah Cohen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(415)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oeulqj9irmaj_m8y7z9u6">
              <w:r>
                <w:rPr>
                  <w:rFonts w:ascii="Calibri" w:cs="Calibri" w:eastAsia="Calibri" w:hAnsi="Calibri"/>
                  <w:color w:val="69718A"/>
                  <w:sz w:val="17"/>
                  <w:szCs w:val="17"/>
                </w:rPr>
                <w:t xml:space="preserve">hannah.cohen@email.com</w:t>
              </w:r>
            </w:hyperlink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in/hannahcohen</w:t>
            </w:r>
          </w:p>
        </w:tc>
      </w:tr>
    </w:tbl>
    <w:p>
      <w:pPr>
        <w:spacing w:after="180" w:before="200"/>
      </w:pPr>
      <w:r>
        <w:rPr>
          <w:rFonts w:ascii="Calibri" w:cs="Calibri" w:eastAsia="Calibri" w:hAnsi="Calibri"/>
          <w:color w:val="33405A"/>
          <w:sz w:val="20"/>
          <w:szCs w:val="20"/>
        </w:rPr>
        <w:t xml:space="preserve">Chief of Staff who turns a CEO's intent into company execution. Eight years as the right hand to founders and CEOs — running the leadership operating system, driving the top strategic priorities, and making sure the most important work actually ships. A trusted thought partner who operates with discretion and bias to action.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shd w:fill="10131C" w:color="auto" w:val="clear"/>
            <w:tcMar>
              <w:top w:type="dxa" w:w="120"/>
              <w:left w:type="dxa" w:w="240"/>
              <w:bottom w:type="dxa" w:w="120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E0A8B8"/>
                <w:spacing w:val="6"/>
                <w:sz w:val="15"/>
                <w:szCs w:val="15"/>
              </w:rPr>
              <w:t xml:space="preserve">CEO PRIORITIES — I KEEP THESE ON TRACK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shd w:fill="10131C" w:color="auto" w:val="clear"/>
            <w:tcMar>
              <w:top w:type="dxa" w:w="120"/>
              <w:left w:type="dxa" w:w="60"/>
              <w:bottom w:type="dxa" w:w="12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E8AA6"/>
                <w:sz w:val="14"/>
                <w:szCs w:val="14"/>
              </w:rPr>
              <w:t xml:space="preserve">Q3 · company OKRs</w:t>
            </w:r>
          </w:p>
        </w:tc>
      </w:tr>
    </w:tbl>
    <w:tbl>
      <w:tblPr>
        <w:tblW w:type="dxa" w:w="10840"/>
        <w:tblBorders>
          <w:top w:val="none"/>
          <w:left w:val="single" w:color="E3E6EE" w:sz="4"/>
          <w:bottom w:val="single" w:color="E3E6EE" w:sz="4"/>
          <w:right w:val="single" w:color="E3E6EE" w:sz="4"/>
          <w:insideH w:val="none"/>
          <w:insideV w:val="none"/>
        </w:tblBorders>
        <w:tblLayout w:type="fixed"/>
      </w:tblPr>
      <w:tblGrid>
        <w:gridCol w:w="4646"/>
        <w:gridCol w:w="2129"/>
        <w:gridCol w:w="1936"/>
        <w:gridCol w:w="2129"/>
      </w:tblGrid>
      <w:tr>
        <w:tc>
          <w:tcPr>
            <w:tcW w:type="dxa" w:w="4646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INITIATIVE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OWNER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STATUS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PROGRESS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FY plan &amp; company OKRs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CEO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FA869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On track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90%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Series C fundraise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CEO/CFO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0A52E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At risk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60%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Exec team hiring (3 VPs)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People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FA869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On track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2 / 3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Board &amp; investor operations</w:t>
            </w:r>
          </w:p>
        </w:tc>
        <w:tc>
          <w:tcPr>
            <w:tcW w:type="dxa" w:w="2129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CoS</w:t>
            </w:r>
          </w:p>
        </w:tc>
        <w:tc>
          <w:tcPr>
            <w:tcW w:type="dxa" w:w="1936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FA869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On track</w:t>
            </w:r>
          </w:p>
        </w:tc>
        <w:tc>
          <w:tcPr>
            <w:tcW w:type="dxa" w:w="2129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Cadence set</w:t>
            </w:r>
          </w:p>
        </w:tc>
      </w:tr>
    </w:tbl>
    <w:p>
      <w:pPr>
        <w:spacing w:after="200"/>
      </w:pPr>
    </w:p>
    <w:p>
      <w:pPr>
        <w:pBdr>
          <w:bottom w:val="single" w:color="9B3552" w:sz="16"/>
        </w:pBdr>
        <w:spacing w:after="120" w:before="0"/>
      </w:pPr>
      <w:r>
        <w:rPr>
          <w:rFonts w:ascii="Georgia" w:cs="Georgia" w:eastAsia="Georgia" w:hAnsi="Georgia"/>
          <w:b/>
          <w:bCs/>
          <w:color w:val="10131C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31C"/>
                <w:sz w:val="20"/>
                <w:szCs w:val="20"/>
              </w:rPr>
              <w:t xml:space="preserve">Chief of Staff to the CEO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9B3552"/>
          <w:sz w:val="18"/>
          <w:szCs w:val="18"/>
        </w:rPr>
        <w:t xml:space="preserve">Ramp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Right hand to the CEO of a 600-person company; run the leadership operating system and top-priority execution.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Drive company OKRs, weekly exec staff, and monthly business reviews; own board prep and investor updates.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Led special projects — Series C readiness, two acquisitions, and an exec-team build-out.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31C"/>
                <w:sz w:val="20"/>
                <w:szCs w:val="20"/>
              </w:rPr>
              <w:t xml:space="preserve">Chief of Staff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9B3552"/>
          <w:sz w:val="18"/>
          <w:szCs w:val="18"/>
        </w:rPr>
        <w:t xml:space="preserve">Plaid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Built the planning cadence and OKR process as the company scaled from 80 to 400.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Ran cross-functional initiatives spanning product, GTM, and operations.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31C"/>
                <w:sz w:val="20"/>
                <w:szCs w:val="20"/>
              </w:rPr>
              <w:t xml:space="preserve">Strategy &amp; Operations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9B3552"/>
          <w:sz w:val="18"/>
          <w:szCs w:val="18"/>
        </w:rPr>
        <w:t xml:space="preserve">Uber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Drove regional strategy and operations; moved into a chief-of-staff track.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7EAE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7EAEF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9B3552"/>
                <w:spacing w:val="6"/>
                <w:sz w:val="15"/>
                <w:szCs w:val="15"/>
              </w:rPr>
              <w:t xml:space="preserve">CORE STRENGTHS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5A"/>
                <w:sz w:val="18"/>
                <w:szCs w:val="18"/>
              </w:rPr>
              <w:t xml:space="preserve">Strategic Planning · OKRs · Exec Communications · Board Ops · Program Management · Decision Support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9B3552"/>
                <w:spacing w:val="6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0131C"/>
                <w:sz w:val="18"/>
                <w:szCs w:val="18"/>
              </w:rPr>
              <w:t xml:space="preserve">MBA — Stanford GSB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B.A., Public Policy — UC Berkeley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eulqj9irmaj_m8y7z9u6" Type="http://schemas.openxmlformats.org/officeDocument/2006/relationships/hyperlink" Target="mailto:hannah.coh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2026-06-21T00:01:43.475Z</dcterms:created>
  <dcterms:modified xsi:type="dcterms:W3CDTF">2026-06-21T00:01:43.475Z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