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none"/>
          <w:left w:val="none"/>
          <w:bottom w:val="single" w:color="10131C" w:sz="16"/>
          <w:right w:val="none"/>
          <w:insideH w:val="none"/>
          <w:insideV w:val="none"/>
        </w:tblBorders>
        <w:tblLayout w:type="fixed"/>
      </w:tblPr>
      <w:tblGrid>
        <w:gridCol w:w="7440"/>
        <w:gridCol w:w="3400"/>
      </w:tblGrid>
      <w:tr>
        <w:tc>
          <w:tcPr>
            <w:tcW w:type="dxa" w:w="74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50"/>
              <w:right w:type="dxa" w:w="0"/>
            </w:tcMar>
            <w:vAlign w:val="bottom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0E8C84"/>
                <w:spacing w:val="6"/>
                <w:sz w:val="15"/>
                <w:szCs w:val="15"/>
              </w:rPr>
              <w:t xml:space="preserve">CHIEF OF STAFF TO THE CEO</w:t>
            </w:r>
          </w:p>
          <w:p>
            <w:r>
              <w:rPr>
                <w:rFonts w:ascii="Georgia" w:cs="Georgia" w:eastAsia="Georgia" w:hAnsi="Georgia"/>
                <w:b/>
                <w:bCs/>
                <w:color w:val="10131C"/>
                <w:sz w:val="60"/>
                <w:szCs w:val="60"/>
              </w:rPr>
              <w:t xml:space="preserve">Hannah Cohen</w:t>
            </w:r>
          </w:p>
        </w:tc>
        <w:tc>
          <w:tcPr>
            <w:tcW w:type="dxa" w:w="34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60"/>
              <w:right w:type="dxa" w:w="0"/>
            </w:tcMar>
            <w:vAlign w:val="bottom"/>
          </w:tcPr>
          <w:p>
            <w:pPr>
              <w:spacing w:line="285" w:lineRule="atLeast"/>
              <w:jc w:val="right"/>
            </w:pPr>
            <w:r>
              <w:rPr>
                <w:rFonts w:ascii="Calibri" w:cs="Calibri" w:eastAsia="Calibri" w:hAnsi="Calibri"/>
                <w:color w:val="69718A"/>
                <w:sz w:val="17"/>
                <w:szCs w:val="17"/>
              </w:rPr>
              <w:t xml:space="preserve">San Francisco, CA</w:t>
            </w:r>
            <w:r>
              <w:rPr>
                <w:rFonts w:ascii="Calibri" w:cs="Calibri" w:eastAsia="Calibri" w:hAnsi="Calibri"/>
                <w:color w:val="69718A"/>
                <w:sz w:val="17"/>
                <w:szCs w:val="17"/>
              </w:rPr>
              <w:br/>
              <w:t xml:space="preserve">(415)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kfohrk1mwlfanuevhsd7z">
              <w:r>
                <w:rPr>
                  <w:rFonts w:ascii="Calibri" w:cs="Calibri" w:eastAsia="Calibri" w:hAnsi="Calibri"/>
                  <w:color w:val="69718A"/>
                  <w:sz w:val="17"/>
                  <w:szCs w:val="17"/>
                </w:rPr>
                <w:t xml:space="preserve">hannah.cohen@email.com</w:t>
              </w:r>
            </w:hyperlink>
            <w:r>
              <w:rPr>
                <w:rFonts w:ascii="Calibri" w:cs="Calibri" w:eastAsia="Calibri" w:hAnsi="Calibri"/>
                <w:color w:val="69718A"/>
                <w:sz w:val="17"/>
                <w:szCs w:val="17"/>
              </w:rPr>
              <w:br/>
              <w:t xml:space="preserve">in/hannahcohen</w:t>
            </w:r>
          </w:p>
        </w:tc>
      </w:tr>
    </w:tbl>
    <w:p>
      <w:pPr>
        <w:spacing w:after="180" w:before="200"/>
      </w:pPr>
      <w:r>
        <w:rPr>
          <w:rFonts w:ascii="Calibri" w:cs="Calibri" w:eastAsia="Calibri" w:hAnsi="Calibri"/>
          <w:color w:val="33405A"/>
          <w:sz w:val="20"/>
          <w:szCs w:val="20"/>
        </w:rPr>
        <w:t xml:space="preserve">Chief of Staff who turns a CEO's intent into company execution. Eight years as the right hand to founders and CEOs — running the leadership operating system, driving the top strategic priorities, and making sure the most important work actually ships. A trusted thought partner who operates with discretion and bias to action.</w:t>
      </w: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40"/>
        <w:gridCol w:w="3200"/>
      </w:tblGrid>
      <w:tr>
        <w:tc>
          <w:tcPr>
            <w:tcW w:type="dxa" w:w="7640"/>
            <w:tcBorders>
              <w:top w:val="none"/>
              <w:left w:val="none"/>
              <w:bottom w:val="none"/>
              <w:right w:val="none"/>
            </w:tcBorders>
            <w:shd w:fill="10131C" w:color="auto" w:val="clear"/>
            <w:tcMar>
              <w:top w:type="dxa" w:w="120"/>
              <w:left w:type="dxa" w:w="240"/>
              <w:bottom w:type="dxa" w:w="120"/>
              <w:right w:type="dxa" w:w="6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86CFC8"/>
                <w:spacing w:val="6"/>
                <w:sz w:val="15"/>
                <w:szCs w:val="15"/>
              </w:rPr>
              <w:t xml:space="preserve">CEO PRIORITIES — I KEEP THESE ON TRACK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shd w:fill="10131C" w:color="auto" w:val="clear"/>
            <w:tcMar>
              <w:top w:type="dxa" w:w="120"/>
              <w:left w:type="dxa" w:w="60"/>
              <w:bottom w:type="dxa" w:w="120"/>
              <w:right w:type="dxa" w:w="24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7E8AA6"/>
                <w:sz w:val="14"/>
                <w:szCs w:val="14"/>
              </w:rPr>
              <w:t xml:space="preserve">Q3 · company OKRs</w:t>
            </w:r>
          </w:p>
        </w:tc>
      </w:tr>
    </w:tbl>
    <w:tbl>
      <w:tblPr>
        <w:tblW w:type="dxa" w:w="10840"/>
        <w:tblBorders>
          <w:top w:val="none"/>
          <w:left w:val="single" w:color="E3E6EE" w:sz="4"/>
          <w:bottom w:val="single" w:color="E3E6EE" w:sz="4"/>
          <w:right w:val="single" w:color="E3E6EE" w:sz="4"/>
          <w:insideH w:val="none"/>
          <w:insideV w:val="none"/>
        </w:tblBorders>
        <w:tblLayout w:type="fixed"/>
      </w:tblPr>
      <w:tblGrid>
        <w:gridCol w:w="4646"/>
        <w:gridCol w:w="2129"/>
        <w:gridCol w:w="1936"/>
        <w:gridCol w:w="2129"/>
      </w:tblGrid>
      <w:tr>
        <w:tc>
          <w:tcPr>
            <w:tcW w:type="dxa" w:w="4646"/>
            <w:tcBorders>
              <w:top w:val="none"/>
              <w:left w:val="none"/>
              <w:bottom w:val="single" w:color="E8EBF1" w:sz="4"/>
              <w:right w:val="none"/>
            </w:tcBorders>
            <w:shd w:fill="F4F6FA" w:color="auto" w:val="clear"/>
            <w:tcMar>
              <w:top w:type="dxa" w:w="90"/>
              <w:left w:type="dxa" w:w="240"/>
              <w:bottom w:type="dxa" w:w="9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8A92A6"/>
                <w:spacing w:val="4"/>
                <w:sz w:val="14"/>
                <w:szCs w:val="14"/>
              </w:rPr>
              <w:t xml:space="preserve">INITIATIVE</w:t>
            </w:r>
          </w:p>
        </w:tc>
        <w:tc>
          <w:tcPr>
            <w:tcW w:type="dxa" w:w="2129"/>
            <w:tcBorders>
              <w:top w:val="none"/>
              <w:left w:val="none"/>
              <w:bottom w:val="single" w:color="E8EBF1" w:sz="4"/>
              <w:right w:val="none"/>
            </w:tcBorders>
            <w:shd w:fill="F4F6FA" w:color="auto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8A92A6"/>
                <w:spacing w:val="4"/>
                <w:sz w:val="14"/>
                <w:szCs w:val="14"/>
              </w:rPr>
              <w:t xml:space="preserve">OWNER</w:t>
            </w:r>
          </w:p>
        </w:tc>
        <w:tc>
          <w:tcPr>
            <w:tcW w:type="dxa" w:w="1936"/>
            <w:tcBorders>
              <w:top w:val="none"/>
              <w:left w:val="none"/>
              <w:bottom w:val="single" w:color="E8EBF1" w:sz="4"/>
              <w:right w:val="none"/>
            </w:tcBorders>
            <w:shd w:fill="F4F6FA" w:color="auto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8A92A6"/>
                <w:spacing w:val="4"/>
                <w:sz w:val="14"/>
                <w:szCs w:val="14"/>
              </w:rPr>
              <w:t xml:space="preserve">STATUS</w:t>
            </w:r>
          </w:p>
        </w:tc>
        <w:tc>
          <w:tcPr>
            <w:tcW w:type="dxa" w:w="2129"/>
            <w:tcBorders>
              <w:top w:val="none"/>
              <w:left w:val="none"/>
              <w:bottom w:val="single" w:color="E8EBF1" w:sz="4"/>
              <w:right w:val="none"/>
            </w:tcBorders>
            <w:shd w:fill="F4F6FA" w:color="auto" w:val="clear"/>
            <w:tcMar>
              <w:top w:type="dxa" w:w="90"/>
              <w:left w:type="dxa" w:w="100"/>
              <w:bottom w:type="dxa" w:w="90"/>
              <w:right w:type="dxa" w:w="24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A92A6"/>
                <w:spacing w:val="4"/>
                <w:sz w:val="14"/>
                <w:szCs w:val="14"/>
              </w:rPr>
              <w:t xml:space="preserve">PROGRESS</w:t>
            </w:r>
          </w:p>
        </w:tc>
      </w:tr>
      <w:tr>
        <w:tc>
          <w:tcPr>
            <w:tcW w:type="dxa" w:w="4646"/>
            <w:tcBorders>
              <w:top w:val="none"/>
              <w:left w:val="none"/>
              <w:bottom w:val="single" w:color="EEF1F5" w:sz="4"/>
              <w:right w:val="none"/>
            </w:tcBorders>
            <w:shd w:fill="FFFFFF" w:color="auto" w:val="clear"/>
            <w:tcMar>
              <w:top w:type="dxa" w:w="90"/>
              <w:left w:type="dxa" w:w="240"/>
              <w:bottom w:type="dxa" w:w="9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6303F"/>
                <w:sz w:val="17"/>
                <w:szCs w:val="17"/>
              </w:rPr>
              <w:t xml:space="preserve">FY plan &amp; company OKRs</w:t>
            </w:r>
          </w:p>
        </w:tc>
        <w:tc>
          <w:tcPr>
            <w:tcW w:type="dxa" w:w="2129"/>
            <w:tcBorders>
              <w:top w:val="none"/>
              <w:left w:val="none"/>
              <w:bottom w:val="single" w:color="EEF1F5" w:sz="4"/>
              <w:right w:val="none"/>
            </w:tcBorders>
            <w:shd w:fill="FFFFFF" w:color="auto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5D6477"/>
                <w:sz w:val="17"/>
                <w:szCs w:val="17"/>
              </w:rPr>
              <w:t xml:space="preserve">CEO</w:t>
            </w:r>
          </w:p>
        </w:tc>
        <w:tc>
          <w:tcPr>
            <w:tcW w:type="dxa" w:w="1936"/>
            <w:tcBorders>
              <w:top w:val="none"/>
              <w:left w:val="none"/>
              <w:bottom w:val="single" w:color="EEF1F5" w:sz="4"/>
              <w:right w:val="none"/>
            </w:tcBorders>
            <w:shd w:fill="FFFFFF" w:color="auto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FA869"/>
                <w:sz w:val="17"/>
                <w:szCs w:val="17"/>
              </w:rPr>
              <w:t xml:space="preserve">● </w:t>
            </w:r>
            <w:r>
              <w:rPr>
                <w:rFonts w:ascii="Calibri" w:cs="Calibri" w:eastAsia="Calibri" w:hAnsi="Calibri"/>
                <w:color w:val="26303F"/>
                <w:sz w:val="17"/>
                <w:szCs w:val="17"/>
              </w:rPr>
              <w:t xml:space="preserve">On track</w:t>
            </w:r>
          </w:p>
        </w:tc>
        <w:tc>
          <w:tcPr>
            <w:tcW w:type="dxa" w:w="2129"/>
            <w:tcBorders>
              <w:top w:val="none"/>
              <w:left w:val="none"/>
              <w:bottom w:val="single" w:color="EEF1F5" w:sz="4"/>
              <w:right w:val="none"/>
            </w:tcBorders>
            <w:shd w:fill="FFFFFF" w:color="auto" w:val="clear"/>
            <w:tcMar>
              <w:top w:type="dxa" w:w="90"/>
              <w:left w:type="dxa" w:w="100"/>
              <w:bottom w:type="dxa" w:w="90"/>
              <w:right w:type="dxa" w:w="24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D6477"/>
                <w:sz w:val="17"/>
                <w:szCs w:val="17"/>
              </w:rPr>
              <w:t xml:space="preserve">90%</w:t>
            </w:r>
          </w:p>
        </w:tc>
      </w:tr>
      <w:tr>
        <w:tc>
          <w:tcPr>
            <w:tcW w:type="dxa" w:w="4646"/>
            <w:tcBorders>
              <w:top w:val="none"/>
              <w:left w:val="none"/>
              <w:bottom w:val="single" w:color="EEF1F5" w:sz="4"/>
              <w:right w:val="none"/>
            </w:tcBorders>
            <w:shd w:fill="FAFBFC" w:color="auto" w:val="clear"/>
            <w:tcMar>
              <w:top w:type="dxa" w:w="90"/>
              <w:left w:type="dxa" w:w="240"/>
              <w:bottom w:type="dxa" w:w="9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6303F"/>
                <w:sz w:val="17"/>
                <w:szCs w:val="17"/>
              </w:rPr>
              <w:t xml:space="preserve">Series C fundraise</w:t>
            </w:r>
          </w:p>
        </w:tc>
        <w:tc>
          <w:tcPr>
            <w:tcW w:type="dxa" w:w="2129"/>
            <w:tcBorders>
              <w:top w:val="none"/>
              <w:left w:val="none"/>
              <w:bottom w:val="single" w:color="EEF1F5" w:sz="4"/>
              <w:right w:val="none"/>
            </w:tcBorders>
            <w:shd w:fill="FAFBFC" w:color="auto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5D6477"/>
                <w:sz w:val="17"/>
                <w:szCs w:val="17"/>
              </w:rPr>
              <w:t xml:space="preserve">CEO/CFO</w:t>
            </w:r>
          </w:p>
        </w:tc>
        <w:tc>
          <w:tcPr>
            <w:tcW w:type="dxa" w:w="1936"/>
            <w:tcBorders>
              <w:top w:val="none"/>
              <w:left w:val="none"/>
              <w:bottom w:val="single" w:color="EEF1F5" w:sz="4"/>
              <w:right w:val="none"/>
            </w:tcBorders>
            <w:shd w:fill="FAFBFC" w:color="auto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E0A52E"/>
                <w:sz w:val="17"/>
                <w:szCs w:val="17"/>
              </w:rPr>
              <w:t xml:space="preserve">● </w:t>
            </w:r>
            <w:r>
              <w:rPr>
                <w:rFonts w:ascii="Calibri" w:cs="Calibri" w:eastAsia="Calibri" w:hAnsi="Calibri"/>
                <w:color w:val="26303F"/>
                <w:sz w:val="17"/>
                <w:szCs w:val="17"/>
              </w:rPr>
              <w:t xml:space="preserve">At risk</w:t>
            </w:r>
          </w:p>
        </w:tc>
        <w:tc>
          <w:tcPr>
            <w:tcW w:type="dxa" w:w="2129"/>
            <w:tcBorders>
              <w:top w:val="none"/>
              <w:left w:val="none"/>
              <w:bottom w:val="single" w:color="EEF1F5" w:sz="4"/>
              <w:right w:val="none"/>
            </w:tcBorders>
            <w:shd w:fill="FAFBFC" w:color="auto" w:val="clear"/>
            <w:tcMar>
              <w:top w:type="dxa" w:w="90"/>
              <w:left w:type="dxa" w:w="100"/>
              <w:bottom w:type="dxa" w:w="90"/>
              <w:right w:type="dxa" w:w="24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D6477"/>
                <w:sz w:val="17"/>
                <w:szCs w:val="17"/>
              </w:rPr>
              <w:t xml:space="preserve">60%</w:t>
            </w:r>
          </w:p>
        </w:tc>
      </w:tr>
      <w:tr>
        <w:tc>
          <w:tcPr>
            <w:tcW w:type="dxa" w:w="4646"/>
            <w:tcBorders>
              <w:top w:val="none"/>
              <w:left w:val="none"/>
              <w:bottom w:val="single" w:color="EEF1F5" w:sz="4"/>
              <w:right w:val="none"/>
            </w:tcBorders>
            <w:shd w:fill="FFFFFF" w:color="auto" w:val="clear"/>
            <w:tcMar>
              <w:top w:type="dxa" w:w="90"/>
              <w:left w:type="dxa" w:w="240"/>
              <w:bottom w:type="dxa" w:w="9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6303F"/>
                <w:sz w:val="17"/>
                <w:szCs w:val="17"/>
              </w:rPr>
              <w:t xml:space="preserve">Exec team hiring (3 VPs)</w:t>
            </w:r>
          </w:p>
        </w:tc>
        <w:tc>
          <w:tcPr>
            <w:tcW w:type="dxa" w:w="2129"/>
            <w:tcBorders>
              <w:top w:val="none"/>
              <w:left w:val="none"/>
              <w:bottom w:val="single" w:color="EEF1F5" w:sz="4"/>
              <w:right w:val="none"/>
            </w:tcBorders>
            <w:shd w:fill="FFFFFF" w:color="auto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5D6477"/>
                <w:sz w:val="17"/>
                <w:szCs w:val="17"/>
              </w:rPr>
              <w:t xml:space="preserve">People</w:t>
            </w:r>
          </w:p>
        </w:tc>
        <w:tc>
          <w:tcPr>
            <w:tcW w:type="dxa" w:w="1936"/>
            <w:tcBorders>
              <w:top w:val="none"/>
              <w:left w:val="none"/>
              <w:bottom w:val="single" w:color="EEF1F5" w:sz="4"/>
              <w:right w:val="none"/>
            </w:tcBorders>
            <w:shd w:fill="FFFFFF" w:color="auto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FA869"/>
                <w:sz w:val="17"/>
                <w:szCs w:val="17"/>
              </w:rPr>
              <w:t xml:space="preserve">● </w:t>
            </w:r>
            <w:r>
              <w:rPr>
                <w:rFonts w:ascii="Calibri" w:cs="Calibri" w:eastAsia="Calibri" w:hAnsi="Calibri"/>
                <w:color w:val="26303F"/>
                <w:sz w:val="17"/>
                <w:szCs w:val="17"/>
              </w:rPr>
              <w:t xml:space="preserve">On track</w:t>
            </w:r>
          </w:p>
        </w:tc>
        <w:tc>
          <w:tcPr>
            <w:tcW w:type="dxa" w:w="2129"/>
            <w:tcBorders>
              <w:top w:val="none"/>
              <w:left w:val="none"/>
              <w:bottom w:val="single" w:color="EEF1F5" w:sz="4"/>
              <w:right w:val="none"/>
            </w:tcBorders>
            <w:shd w:fill="FFFFFF" w:color="auto" w:val="clear"/>
            <w:tcMar>
              <w:top w:type="dxa" w:w="90"/>
              <w:left w:type="dxa" w:w="100"/>
              <w:bottom w:type="dxa" w:w="90"/>
              <w:right w:type="dxa" w:w="24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D6477"/>
                <w:sz w:val="17"/>
                <w:szCs w:val="17"/>
              </w:rPr>
              <w:t xml:space="preserve">2 / 3</w:t>
            </w:r>
          </w:p>
        </w:tc>
      </w:tr>
      <w:tr>
        <w:tc>
          <w:tcPr>
            <w:tcW w:type="dxa" w:w="4646"/>
            <w:tcBorders>
              <w:top w:val="none"/>
              <w:left w:val="none"/>
              <w:bottom w:val="none"/>
              <w:right w:val="none"/>
            </w:tcBorders>
            <w:shd w:fill="FAFBFC" w:color="auto" w:val="clear"/>
            <w:tcMar>
              <w:top w:type="dxa" w:w="90"/>
              <w:left w:type="dxa" w:w="240"/>
              <w:bottom w:type="dxa" w:w="9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26303F"/>
                <w:sz w:val="17"/>
                <w:szCs w:val="17"/>
              </w:rPr>
              <w:t xml:space="preserve">Board &amp; investor operations</w:t>
            </w:r>
          </w:p>
        </w:tc>
        <w:tc>
          <w:tcPr>
            <w:tcW w:type="dxa" w:w="2129"/>
            <w:tcBorders>
              <w:top w:val="none"/>
              <w:left w:val="none"/>
              <w:bottom w:val="none"/>
              <w:right w:val="none"/>
            </w:tcBorders>
            <w:shd w:fill="FAFBFC" w:color="auto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5D6477"/>
                <w:sz w:val="17"/>
                <w:szCs w:val="17"/>
              </w:rPr>
              <w:t xml:space="preserve">CoS</w:t>
            </w:r>
          </w:p>
        </w:tc>
        <w:tc>
          <w:tcPr>
            <w:tcW w:type="dxa" w:w="1936"/>
            <w:tcBorders>
              <w:top w:val="none"/>
              <w:left w:val="none"/>
              <w:bottom w:val="none"/>
              <w:right w:val="none"/>
            </w:tcBorders>
            <w:shd w:fill="FAFBFC" w:color="auto" w:val="clear"/>
            <w:tcMar>
              <w:top w:type="dxa" w:w="90"/>
              <w:left w:type="dxa" w:w="100"/>
              <w:bottom w:type="dxa" w:w="9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FA869"/>
                <w:sz w:val="17"/>
                <w:szCs w:val="17"/>
              </w:rPr>
              <w:t xml:space="preserve">● </w:t>
            </w:r>
            <w:r>
              <w:rPr>
                <w:rFonts w:ascii="Calibri" w:cs="Calibri" w:eastAsia="Calibri" w:hAnsi="Calibri"/>
                <w:color w:val="26303F"/>
                <w:sz w:val="17"/>
                <w:szCs w:val="17"/>
              </w:rPr>
              <w:t xml:space="preserve">On track</w:t>
            </w:r>
          </w:p>
        </w:tc>
        <w:tc>
          <w:tcPr>
            <w:tcW w:type="dxa" w:w="2129"/>
            <w:tcBorders>
              <w:top w:val="none"/>
              <w:left w:val="none"/>
              <w:bottom w:val="none"/>
              <w:right w:val="none"/>
            </w:tcBorders>
            <w:shd w:fill="FAFBFC" w:color="auto" w:val="clear"/>
            <w:tcMar>
              <w:top w:type="dxa" w:w="90"/>
              <w:left w:type="dxa" w:w="100"/>
              <w:bottom w:type="dxa" w:w="90"/>
              <w:right w:type="dxa" w:w="24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D6477"/>
                <w:sz w:val="17"/>
                <w:szCs w:val="17"/>
              </w:rPr>
              <w:t xml:space="preserve">Cadence set</w:t>
            </w:r>
          </w:p>
        </w:tc>
      </w:tr>
    </w:tbl>
    <w:p>
      <w:pPr>
        <w:spacing w:after="200"/>
      </w:pPr>
    </w:p>
    <w:p>
      <w:pPr>
        <w:pBdr>
          <w:bottom w:val="single" w:color="0E8C84" w:sz="16"/>
        </w:pBdr>
        <w:spacing w:after="120" w:before="0"/>
      </w:pPr>
      <w:r>
        <w:rPr>
          <w:rFonts w:ascii="Georgia" w:cs="Georgia" w:eastAsia="Georgia" w:hAnsi="Georgia"/>
          <w:b/>
          <w:bCs/>
          <w:color w:val="10131C"/>
          <w:sz w:val="26"/>
          <w:szCs w:val="26"/>
        </w:rPr>
        <w:t xml:space="preserve">Experience</w:t>
      </w:r>
    </w:p>
    <w:p>
      <w:pPr>
        <w:spacing w:after="2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131C"/>
                <w:sz w:val="20"/>
                <w:szCs w:val="20"/>
              </w:rPr>
              <w:t xml:space="preserve">Chief of Staff to the CEO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59DB0"/>
                <w:sz w:val="17"/>
                <w:szCs w:val="17"/>
              </w:rPr>
              <w:t xml:space="preserve">2021 — Present</w:t>
            </w:r>
          </w:p>
        </w:tc>
      </w:tr>
    </w:tbl>
    <w:p>
      <w:pPr>
        <w:spacing w:after="50" w:before="30"/>
      </w:pPr>
      <w:r>
        <w:rPr>
          <w:rFonts w:ascii="Calibri" w:cs="Calibri" w:eastAsia="Calibri" w:hAnsi="Calibri"/>
          <w:b/>
          <w:bCs/>
          <w:color w:val="0E8C84"/>
          <w:sz w:val="18"/>
          <w:szCs w:val="18"/>
        </w:rPr>
        <w:t xml:space="preserve">Ramp — San Francisco,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05A"/>
          <w:sz w:val="19"/>
          <w:szCs w:val="19"/>
        </w:rPr>
        <w:t xml:space="preserve">Right hand to the CEO of a 600-person company; run the leadership operating system and top-priority execution.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05A"/>
          <w:sz w:val="19"/>
          <w:szCs w:val="19"/>
        </w:rPr>
        <w:t xml:space="preserve">Drive company OKRs, weekly exec staff, and monthly business reviews; own board prep and investor updates.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05A"/>
          <w:sz w:val="19"/>
          <w:szCs w:val="19"/>
        </w:rPr>
        <w:t xml:space="preserve">Led special projects — Series C readiness, two acquisitions, and an exec-team build-out.</w:t>
      </w:r>
    </w:p>
    <w:p>
      <w:pPr>
        <w:spacing w:after="17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131C"/>
                <w:sz w:val="20"/>
                <w:szCs w:val="20"/>
              </w:rPr>
              <w:t xml:space="preserve">Chief of Staff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59DB0"/>
                <w:sz w:val="17"/>
                <w:szCs w:val="17"/>
              </w:rPr>
              <w:t xml:space="preserve">2018 — 2021</w:t>
            </w:r>
          </w:p>
        </w:tc>
      </w:tr>
    </w:tbl>
    <w:p>
      <w:pPr>
        <w:spacing w:after="50" w:before="30"/>
      </w:pPr>
      <w:r>
        <w:rPr>
          <w:rFonts w:ascii="Calibri" w:cs="Calibri" w:eastAsia="Calibri" w:hAnsi="Calibri"/>
          <w:b/>
          <w:bCs/>
          <w:color w:val="0E8C84"/>
          <w:sz w:val="18"/>
          <w:szCs w:val="18"/>
        </w:rPr>
        <w:t xml:space="preserve">Plaid — San Francisco,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05A"/>
          <w:sz w:val="19"/>
          <w:szCs w:val="19"/>
        </w:rPr>
        <w:t xml:space="preserve">Built the planning cadence and OKR process as the company scaled from 80 to 400.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05A"/>
          <w:sz w:val="19"/>
          <w:szCs w:val="19"/>
        </w:rPr>
        <w:t xml:space="preserve">Ran cross-functional initiatives spanning product, GTM, and operations.</w:t>
      </w:r>
    </w:p>
    <w:p>
      <w:pPr>
        <w:spacing w:after="17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0131C"/>
                <w:sz w:val="20"/>
                <w:szCs w:val="20"/>
              </w:rPr>
              <w:t xml:space="preserve">Strategy &amp; Operations Manager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59DB0"/>
                <w:sz w:val="17"/>
                <w:szCs w:val="17"/>
              </w:rPr>
              <w:t xml:space="preserve">2016 — 2018</w:t>
            </w:r>
          </w:p>
        </w:tc>
      </w:tr>
    </w:tbl>
    <w:p>
      <w:pPr>
        <w:spacing w:after="50" w:before="30"/>
      </w:pPr>
      <w:r>
        <w:rPr>
          <w:rFonts w:ascii="Calibri" w:cs="Calibri" w:eastAsia="Calibri" w:hAnsi="Calibri"/>
          <w:b/>
          <w:bCs/>
          <w:color w:val="0E8C84"/>
          <w:sz w:val="18"/>
          <w:szCs w:val="18"/>
        </w:rPr>
        <w:t xml:space="preserve">Uber — San Francisco,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05A"/>
          <w:sz w:val="19"/>
          <w:szCs w:val="19"/>
        </w:rPr>
        <w:t xml:space="preserve">Drove regional strategy and operations; moved into a chief-of-staff track.</w:t>
      </w:r>
    </w:p>
    <w:p>
      <w:pPr>
        <w:spacing w:after="0"/>
      </w:pPr>
    </w:p>
    <w:p>
      <w:pPr>
        <w:spacing w:after="20"/>
      </w:pPr>
    </w:p>
    <w:tbl>
      <w:tblPr>
        <w:tblW w:type="dxa" w:w="10840"/>
        <w:tblBorders>
          <w:top w:val="single" w:color="E7EAEF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84"/>
        <w:gridCol w:w="440"/>
        <w:gridCol w:w="4316"/>
      </w:tblGrid>
      <w:tr>
        <w:tc>
          <w:tcPr>
            <w:tcW w:type="dxa" w:w="6084"/>
            <w:tcBorders>
              <w:top w:val="none"/>
              <w:left w:val="none"/>
              <w:bottom w:val="none"/>
              <w:right w:val="single" w:color="E7EAEF" w:sz="8"/>
            </w:tcBorders>
            <w:tcMar>
              <w:top w:type="dxa" w:w="16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0E8C84"/>
                <w:spacing w:val="6"/>
                <w:sz w:val="15"/>
                <w:szCs w:val="15"/>
              </w:rPr>
              <w:t xml:space="preserve">CORE STRENGTHS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3405A"/>
                <w:sz w:val="18"/>
                <w:szCs w:val="18"/>
              </w:rPr>
              <w:t xml:space="preserve">Strategic Planning · OKRs · Exec Communications · Board Ops · Program Management · Decision Support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16"/>
            <w:tcBorders>
              <w:top w:val="none"/>
              <w:left w:val="none"/>
              <w:bottom w:val="none"/>
              <w:right w:val="none"/>
            </w:tcBorders>
            <w:tcMar>
              <w:top w:type="dxa" w:w="16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0E8C84"/>
                <w:spacing w:val="6"/>
                <w:sz w:val="15"/>
                <w:szCs w:val="15"/>
              </w:rPr>
              <w:t xml:space="preserve">EDUCATION</w:t>
            </w:r>
          </w:p>
          <w:p>
            <w:pPr>
              <w:spacing w:before="0"/>
            </w:pPr>
            <w:r>
              <w:rPr>
                <w:rFonts w:ascii="Calibri" w:cs="Calibri" w:eastAsia="Calibri" w:hAnsi="Calibri"/>
                <w:b/>
                <w:bCs/>
                <w:color w:val="10131C"/>
                <w:sz w:val="18"/>
                <w:szCs w:val="18"/>
              </w:rPr>
              <w:t xml:space="preserve">MBA — Stanford GSB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8A8472"/>
                <w:sz w:val="17"/>
                <w:szCs w:val="17"/>
              </w:rPr>
              <w:t xml:space="preserve">B.A., Public Policy — UC Berkeley</w:t>
            </w:r>
          </w:p>
        </w:tc>
      </w:tr>
    </w:tbl>
    <w:sectPr>
      <w:pgSz w:w="12240" w:h="15840" w:orient="portrait"/>
      <w:pgMar w:top="680" w:right="700" w:bottom="62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05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kfohrk1mwlfanuevhsd7z" Type="http://schemas.openxmlformats.org/officeDocument/2006/relationships/hyperlink" Target="mailto:hannah.cohe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2026-06-21T00:01:43.466Z</dcterms:created>
  <dcterms:modified xsi:type="dcterms:W3CDTF">2026-06-21T00:01:43.466Z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