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A150F"/>
          <w:sz w:val="63"/>
          <w:szCs w:val="63"/>
        </w:rPr>
        <w:t xml:space="preserve">Olivia Hartmann</w:t>
      </w:r>
    </w:p>
    <w:p>
      <w:pPr>
        <w:spacing w:before="110"/>
        <w:jc w:val="center"/>
      </w:pPr>
      <w:r>
        <w:rPr>
          <w:rFonts w:ascii="Trebuchet MS" w:cs="Trebuchet MS" w:eastAsia="Trebuchet MS" w:hAnsi="Trebuchet MS"/>
          <w:b/>
          <w:bCs/>
          <w:color w:val="C0612F"/>
          <w:spacing w:val="14"/>
          <w:sz w:val="18"/>
          <w:szCs w:val="18"/>
        </w:rPr>
        <w:t xml:space="preserve">INDEPENDENT MANAGEMENT CONSULTANT</w:t>
      </w:r>
    </w:p>
    <w:p>
      <w:pPr>
        <w:pBdr>
          <w:bottom w:val="single" w:color="E6DDCF" w:sz="6"/>
        </w:pBdr>
        <w:spacing w:after="0" w:before="110"/>
        <w:jc w:val="center"/>
      </w:pPr>
      <w:r>
        <w:rPr>
          <w:rFonts w:ascii="Calibri" w:cs="Calibri" w:eastAsia="Calibri" w:hAnsi="Calibri"/>
          <w:color w:val="7A7064"/>
          <w:sz w:val="17"/>
          <w:szCs w:val="17"/>
        </w:rPr>
        <w:t xml:space="preserve">Austin, TX  ·  (512) 555-0191  ·  olivia@hartmann-advisory.com  ·  hartmann-advisory.com   </w:t>
      </w:r>
    </w:p>
    <w:p>
      <w:pPr>
        <w:spacing w:after="19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/>
              <w:left w:val="none"/>
              <w:bottom w:val="none"/>
              <w:right w:val="none"/>
            </w:tcBorders>
            <w:shd w:fill="1A150F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DAY RATE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$2,400</w:t>
            </w:r>
          </w:p>
        </w:tc>
        <w:tc>
          <w:tcPr>
            <w:tcW w:type="dxa" w:w="2700"/>
            <w:tcBorders>
              <w:top w:val="none"/>
              <w:left w:val="single" w:color="433F3A" w:sz="4"/>
              <w:bottom w:val="none"/>
              <w:right w:val="none"/>
            </w:tcBorders>
            <w:shd w:fill="1A150F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ENGAGEMENT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Project · Retainer</w:t>
            </w:r>
          </w:p>
        </w:tc>
        <w:tc>
          <w:tcPr>
            <w:tcW w:type="dxa" w:w="2700"/>
            <w:tcBorders>
              <w:top w:val="none"/>
              <w:left w:val="single" w:color="433F3A" w:sz="4"/>
              <w:bottom w:val="none"/>
              <w:right w:val="none"/>
            </w:tcBorders>
            <w:shd w:fill="1A150F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AVAILABILITY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9A5A"/>
                <w:sz w:val="21"/>
                <w:szCs w:val="21"/>
              </w:rPr>
              <w:t xml:space="preserve">Q3 · Remote</w:t>
            </w:r>
          </w:p>
        </w:tc>
        <w:tc>
          <w:tcPr>
            <w:tcW w:type="dxa" w:w="2700"/>
            <w:tcBorders>
              <w:top w:val="none"/>
              <w:left w:val="single" w:color="433F3A" w:sz="4"/>
              <w:bottom w:val="none"/>
              <w:right w:val="none"/>
            </w:tcBorders>
            <w:shd w:fill="1A150F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EXPERIENCE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14 yrs</w:t>
            </w:r>
          </w:p>
        </w:tc>
      </w:tr>
    </w:tbl>
    <w:p>
      <w:pPr>
        <w:spacing w:after="190"/>
      </w:pPr>
    </w:p>
    <w:p>
      <w:pPr>
        <w:spacing w:after="180"/>
      </w:pPr>
      <w:r>
        <w:rPr>
          <w:rFonts w:ascii="Calibri" w:cs="Calibri" w:eastAsia="Calibri" w:hAnsi="Calibri"/>
          <w:color w:val="3C352C"/>
          <w:sz w:val="20"/>
          <w:szCs w:val="20"/>
        </w:rPr>
        <w:t xml:space="preserve">Independent consultant helping founders and execs fix operations and scale with confidence. Fourteen years — first in-house, now solo — running focused engagements in operations, go-to-market, and org design. Senior-level thinking without the big-firm overhead, embedded with your team.</w:t>
      </w:r>
    </w:p>
    <w:p>
      <w:pPr>
        <w:spacing w:after="110" w:before="0"/>
      </w:pPr>
      <w:r>
        <w:rPr>
          <w:rFonts w:ascii="Trebuchet MS" w:cs="Trebuchet MS" w:eastAsia="Trebuchet MS" w:hAnsi="Trebuchet MS"/>
          <w:b/>
          <w:bCs/>
          <w:color w:val="A8907A"/>
          <w:spacing w:val="8"/>
          <w:sz w:val="15"/>
          <w:szCs w:val="15"/>
        </w:rPr>
        <w:t xml:space="preserve">SELECTED CLIENTS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40"/>
        <w:gridCol w:w="150"/>
        <w:gridCol w:w="2040"/>
        <w:gridCol w:w="150"/>
        <w:gridCol w:w="2040"/>
        <w:gridCol w:w="150"/>
        <w:gridCol w:w="2040"/>
        <w:gridCol w:w="150"/>
        <w:gridCol w:w="2040"/>
      </w:tblGrid>
      <w:tr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NORTHWIND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Lumen&amp;Co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Vireo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HELIX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Brightpath</w:t>
            </w:r>
          </w:p>
        </w:tc>
      </w:tr>
    </w:tbl>
    <w:p>
      <w:pPr>
        <w:spacing w:after="200"/>
      </w:pPr>
    </w:p>
    <w:p>
      <w:pPr>
        <w:pBdr>
          <w:bottom w:val="single" w:color="C0612F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A150F"/>
          <w:sz w:val="25"/>
          <w:szCs w:val="25"/>
        </w:rPr>
        <w:t xml:space="preserve">Engagements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50F"/>
                <w:sz w:val="20"/>
                <w:szCs w:val="20"/>
              </w:rPr>
              <w:t xml:space="preserve">Founder &amp; Principal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0612F"/>
          <w:sz w:val="18"/>
          <w:szCs w:val="18"/>
        </w:rPr>
        <w:t xml:space="preserve">Hartmann Advisory (Independent)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Run 8–12 engagements/year in ops, GTM, and org design for startups and PE-backed companies.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Helped a Series B client cut fulfillment cost 22% and scale headcount from 40 to 120.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Maintain a 90% repeat-or-referral rate across the client base.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50F"/>
                <w:sz w:val="20"/>
                <w:szCs w:val="20"/>
              </w:rPr>
              <w:t xml:space="preserve">Director of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0612F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Built and scaled operations through hypergrowth; designed the org and core processes.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50F"/>
                <w:sz w:val="20"/>
                <w:szCs w:val="20"/>
              </w:rPr>
              <w:t xml:space="preserve">Management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C0612F"/>
          <w:sz w:val="18"/>
          <w:szCs w:val="18"/>
        </w:rPr>
        <w:t xml:space="preserve">L.E.K. Consulting — Boston, MA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Advised clients on strategy and operations across consumer and industrials.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ECE2D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CE2D3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0612F"/>
                <w:spacing w:val="8"/>
                <w:sz w:val="15"/>
                <w:szCs w:val="15"/>
              </w:rPr>
              <w:t xml:space="preserve">SERVICES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Operations · Go-to-Market · Org Design · Process Improvement · Fractional COO · Interim Leadership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0612F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A150F"/>
                <w:sz w:val="18"/>
                <w:szCs w:val="18"/>
              </w:rPr>
              <w:t xml:space="preserve">MBA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Rice</w:t>
            </w:r>
          </w:p>
        </w:tc>
      </w:tr>
    </w:tbl>
    <w:sectPr>
      <w:pgSz w:w="12240" w:h="15840" w:orient="portrait"/>
      <w:pgMar w:top="70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C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2026-06-20T21:14:16.903Z</dcterms:created>
  <dcterms:modified xsi:type="dcterms:W3CDTF">2026-06-20T21:14:16.903Z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