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single" w:color="0E8C84" w:sz="22"/>
          <w:right w:val="none"/>
          <w:insideH w:val="none"/>
          <w:insideV w:val="none"/>
        </w:tblBorders>
        <w:tblLayout w:type="fixed"/>
      </w:tblPr>
      <w:tblGrid>
        <w:gridCol w:w="7640"/>
        <w:gridCol w:w="3200"/>
      </w:tblGrid>
      <w:tr>
        <w:tc>
          <w:tcPr>
            <w:tcW w:type="dxa" w:w="76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r>
              <w:rPr>
                <w:rFonts w:ascii="Trebuchet MS" w:cs="Trebuchet MS" w:eastAsia="Trebuchet MS" w:hAnsi="Trebuchet MS"/>
                <w:b/>
                <w:bCs/>
                <w:color w:val="10231F"/>
                <w:sz w:val="57"/>
                <w:szCs w:val="57"/>
              </w:rPr>
              <w:t xml:space="preserve">Tyler Brooks</w:t>
            </w:r>
          </w:p>
          <w:p>
            <w:pPr>
              <w:spacing w:after="0" w:before="90"/>
            </w:pPr>
            <w:r>
              <w:rPr>
                <w:rFonts w:ascii="Trebuchet MS" w:cs="Trebuchet MS" w:eastAsia="Trebuchet MS" w:hAnsi="Trebuchet MS"/>
                <w:b/>
                <w:bCs/>
                <w:color w:val="0E8C84"/>
                <w:spacing w:val="8"/>
                <w:sz w:val="15"/>
                <w:szCs w:val="15"/>
              </w:rPr>
              <w:t xml:space="preserve">MARKETING &amp; GROWTH CONSULTANT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60"/>
              <w:right w:type="dxa" w:w="0"/>
            </w:tcMar>
            <w:vAlign w:val="bottom"/>
          </w:tcPr>
          <w:p>
            <w:pPr>
              <w:spacing w:line="280" w:lineRule="atLeast"/>
              <w:jc w:val="right"/>
            </w:pPr>
            <w:r>
              <w:rPr>
                <w:rFonts w:ascii="Calibri" w:cs="Calibri" w:eastAsia="Calibri" w:hAnsi="Calibri"/>
                <w:color w:val="7A6470"/>
                <w:sz w:val="17"/>
                <w:szCs w:val="17"/>
              </w:rPr>
              <w:t xml:space="preserve">Los Angeles, CA</w:t>
            </w:r>
            <w:r>
              <w:rPr>
                <w:rFonts w:ascii="Calibri" w:cs="Calibri" w:eastAsia="Calibri" w:hAnsi="Calibri"/>
                <w:color w:val="7A6470"/>
                <w:sz w:val="17"/>
                <w:szCs w:val="17"/>
              </w:rPr>
              <w:br/>
              <w:t xml:space="preserve">(310) 555-0166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4g9faflhya4rfe6qkgp8o">
              <w:r>
                <w:rPr>
                  <w:rFonts w:ascii="Calibri" w:cs="Calibri" w:eastAsia="Calibri" w:hAnsi="Calibri"/>
                  <w:color w:val="7A6470"/>
                  <w:sz w:val="17"/>
                  <w:szCs w:val="17"/>
                </w:rPr>
                <w:t xml:space="preserve">tyler@email.com</w:t>
              </w:r>
            </w:hyperlink>
            <w:r>
              <w:rPr>
                <w:rFonts w:ascii="Calibri" w:cs="Calibri" w:eastAsia="Calibri" w:hAnsi="Calibri"/>
                <w:color w:val="7A6470"/>
                <w:sz w:val="17"/>
                <w:szCs w:val="17"/>
              </w:rPr>
              <w:br/>
              <w:t xml:space="preserve">in/tylerbrooks</w:t>
            </w:r>
          </w:p>
        </w:tc>
      </w:tr>
    </w:tbl>
    <w:p>
      <w:pPr>
        <w:spacing w:after="190" w:before="200"/>
      </w:pPr>
      <w:r>
        <w:rPr>
          <w:rFonts w:ascii="Calibri" w:cs="Calibri" w:eastAsia="Calibri" w:hAnsi="Calibri"/>
          <w:color w:val="40303A"/>
          <w:sz w:val="20"/>
          <w:szCs w:val="20"/>
        </w:rPr>
        <w:t xml:space="preserve">Growth consultant who builds demand engines that actually convert. Nine years helping brands and startups turn marketing spend into pipeline and revenue — across the full funnel, from awareness to retention. Data-driven, channel-agnostic, and obsessed with what moves the number.</w:t>
      </w:r>
    </w:p>
    <w:tbl>
      <w:tblPr>
        <w:tblW w:type="dxa" w:w="10840"/>
        <w:tblBorders>
          <w:top w:val="single" w:color="CDE6E0" w:sz="4"/>
          <w:left w:val="single" w:color="CDE6E0" w:sz="4"/>
          <w:bottom w:val="single" w:color="CDE6E0" w:sz="4"/>
          <w:right w:val="single" w:color="CDE6E0" w:sz="4"/>
          <w:insideH w:val="none"/>
          <w:insideV w:val="none"/>
        </w:tblBorders>
        <w:tblLayout w:type="fixed"/>
      </w:tblPr>
      <w:tblGrid>
        <w:gridCol w:w="10840"/>
      </w:tblGrid>
      <w:tr>
        <w:tc>
          <w:tcPr>
            <w:tcW w:type="dxa" w:w="10840"/>
            <w:tcBorders>
              <w:top w:val="none"/>
              <w:left w:val="none"/>
              <w:bottom w:val="none"/>
              <w:right w:val="none"/>
            </w:tcBorders>
            <w:shd w:fill="EAF6F3" w:color="auto" w:val="clear"/>
            <w:tcMar>
              <w:top w:type="dxa" w:w="220"/>
              <w:left w:type="dxa" w:w="300"/>
              <w:bottom w:type="dxa" w:w="220"/>
              <w:right w:type="dxa" w:w="300"/>
            </w:tcMar>
          </w:tcPr>
          <w:p>
            <w:pPr>
              <w:spacing w:after="140" w:before="0"/>
            </w:pPr>
            <w:r>
              <w:rPr>
                <w:rFonts w:ascii="Trebuchet MS" w:cs="Trebuchet MS" w:eastAsia="Trebuchet MS" w:hAnsi="Trebuchet MS"/>
                <w:b/>
                <w:bCs/>
                <w:color w:val="2B9A93"/>
                <w:spacing w:val="8"/>
                <w:sz w:val="15"/>
                <w:szCs w:val="15"/>
              </w:rPr>
              <w:t xml:space="preserve">THE FUNNEL I BUILD &amp; OPTIMIZE</w:t>
            </w:r>
          </w:p>
          <w:tbl>
            <w:tblPr>
              <w:tblW w:type="dxa" w:w="10280"/>
              <w:jc w:val="center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373"/>
              <w:gridCol w:w="3907"/>
            </w:tblGrid>
            <w:tr>
              <w:tc>
                <w:tcPr>
                  <w:tcW w:type="dxa" w:w="6373"/>
                  <w:tcBorders>
                    <w:top w:val="none"/>
                    <w:left w:val="none"/>
                    <w:bottom w:val="none"/>
                    <w:right w:val="none"/>
                  </w:tcBorders>
                  <w:shd w:fill="87C6C2" w:color="auto" w:val="clear"/>
                  <w:tcMar>
                    <w:top w:type="dxa" w:w="120"/>
                    <w:left w:type="dxa" w:w="200"/>
                    <w:bottom w:type="dxa" w:w="120"/>
                    <w:right w:type="dxa" w:w="60"/>
                  </w:tcMar>
                  <w:vAlign w:val="center"/>
                </w:tcPr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10231F"/>
                      <w:sz w:val="18"/>
                      <w:szCs w:val="18"/>
                    </w:rPr>
                    <w:t xml:space="preserve">Awareness</w:t>
                  </w:r>
                </w:p>
              </w:tc>
              <w:tc>
                <w:tcPr>
                  <w:tcW w:type="dxa" w:w="3907"/>
                  <w:tcBorders>
                    <w:top w:val="none"/>
                    <w:left w:val="none"/>
                    <w:bottom w:val="none"/>
                    <w:right w:val="none"/>
                  </w:tcBorders>
                  <w:shd w:fill="87C6C2" w:color="auto" w:val="clear"/>
                  <w:tcMar>
                    <w:top w:type="dxa" w:w="120"/>
                    <w:left w:type="dxa" w:w="60"/>
                    <w:bottom w:type="dxa" w:w="120"/>
                    <w:right w:type="dxa" w:w="200"/>
                  </w:tcMar>
                  <w:vAlign w:val="center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0231F"/>
                      <w:sz w:val="17"/>
                      <w:szCs w:val="17"/>
                    </w:rPr>
                    <w:t xml:space="preserve">2.4M reach</w:t>
                  </w:r>
                </w:p>
              </w:tc>
            </w:tr>
          </w:tbl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color w:val="6EBAB5"/>
                <w:sz w:val="15"/>
                <w:szCs w:val="15"/>
              </w:rPr>
              <w:t xml:space="preserve">▼</w:t>
            </w:r>
          </w:p>
          <w:tbl>
            <w:tblPr>
              <w:tblW w:type="dxa" w:w="8635"/>
              <w:jc w:val="center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53"/>
              <w:gridCol w:w="3282"/>
            </w:tblGrid>
            <w:tr>
              <w:tc>
                <w:tcPr>
                  <w:tcW w:type="dxa" w:w="5353"/>
                  <w:tcBorders>
                    <w:top w:val="none"/>
                    <w:left w:val="none"/>
                    <w:bottom w:val="none"/>
                    <w:right w:val="none"/>
                  </w:tcBorders>
                  <w:shd w:fill="56AFA9" w:color="auto" w:val="clear"/>
                  <w:tcMar>
                    <w:top w:type="dxa" w:w="120"/>
                    <w:left w:type="dxa" w:w="200"/>
                    <w:bottom w:type="dxa" w:w="120"/>
                    <w:right w:type="dxa" w:w="60"/>
                  </w:tcMar>
                  <w:vAlign w:val="center"/>
                </w:tcPr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18"/>
                      <w:szCs w:val="18"/>
                    </w:rPr>
                    <w:t xml:space="preserve">Consideration</w:t>
                  </w:r>
                </w:p>
              </w:tc>
              <w:tc>
                <w:tcPr>
                  <w:tcW w:type="dxa" w:w="3282"/>
                  <w:tcBorders>
                    <w:top w:val="none"/>
                    <w:left w:val="none"/>
                    <w:bottom w:val="none"/>
                    <w:right w:val="none"/>
                  </w:tcBorders>
                  <w:shd w:fill="56AFA9" w:color="auto" w:val="clear"/>
                  <w:tcMar>
                    <w:top w:type="dxa" w:w="120"/>
                    <w:left w:type="dxa" w:w="60"/>
                    <w:bottom w:type="dxa" w:w="120"/>
                    <w:right w:type="dxa" w:w="200"/>
                  </w:tcMar>
                  <w:vAlign w:val="center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7"/>
                      <w:szCs w:val="17"/>
                    </w:rPr>
                    <w:t xml:space="preserve">310K visits</w:t>
                  </w:r>
                </w:p>
              </w:tc>
            </w:tr>
          </w:tbl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color w:val="6EBAB5"/>
                <w:sz w:val="15"/>
                <w:szCs w:val="15"/>
              </w:rPr>
              <w:t xml:space="preserve">▼</w:t>
            </w:r>
          </w:p>
          <w:tbl>
            <w:tblPr>
              <w:tblW w:type="dxa" w:w="6785"/>
              <w:jc w:val="center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06"/>
              <w:gridCol w:w="2579"/>
            </w:tblGrid>
            <w:tr>
              <w:tc>
                <w:tcPr>
                  <w:tcW w:type="dxa" w:w="4206"/>
                  <w:tcBorders>
                    <w:top w:val="none"/>
                    <w:left w:val="none"/>
                    <w:bottom w:val="none"/>
                    <w:right w:val="none"/>
                  </w:tcBorders>
                  <w:shd w:fill="2B9A93" w:color="auto" w:val="clear"/>
                  <w:tcMar>
                    <w:top w:type="dxa" w:w="120"/>
                    <w:left w:type="dxa" w:w="200"/>
                    <w:bottom w:type="dxa" w:w="120"/>
                    <w:right w:type="dxa" w:w="60"/>
                  </w:tcMar>
                  <w:vAlign w:val="center"/>
                </w:tcPr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18"/>
                      <w:szCs w:val="18"/>
                    </w:rPr>
                    <w:t xml:space="preserve">Conversion</w:t>
                  </w:r>
                </w:p>
              </w:tc>
              <w:tc>
                <w:tcPr>
                  <w:tcW w:type="dxa" w:w="2579"/>
                  <w:tcBorders>
                    <w:top w:val="none"/>
                    <w:left w:val="none"/>
                    <w:bottom w:val="none"/>
                    <w:right w:val="none"/>
                  </w:tcBorders>
                  <w:shd w:fill="2B9A93" w:color="auto" w:val="clear"/>
                  <w:tcMar>
                    <w:top w:type="dxa" w:w="120"/>
                    <w:left w:type="dxa" w:w="60"/>
                    <w:bottom w:type="dxa" w:w="120"/>
                    <w:right w:type="dxa" w:w="200"/>
                  </w:tcMar>
                  <w:vAlign w:val="center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7"/>
                      <w:szCs w:val="17"/>
                    </w:rPr>
                    <w:t xml:space="preserve">24K leads</w:t>
                  </w:r>
                </w:p>
              </w:tc>
            </w:tr>
          </w:tbl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color w:val="6EBAB5"/>
                <w:sz w:val="15"/>
                <w:szCs w:val="15"/>
              </w:rPr>
              <w:t xml:space="preserve">▼</w:t>
            </w:r>
          </w:p>
          <w:tbl>
            <w:tblPr>
              <w:tblW w:type="dxa" w:w="4934"/>
              <w:jc w:val="center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059"/>
              <w:gridCol w:w="1875"/>
            </w:tblGrid>
            <w:tr>
              <w:tc>
                <w:tcPr>
                  <w:tcW w:type="dxa" w:w="3059"/>
                  <w:tcBorders>
                    <w:top w:val="none"/>
                    <w:left w:val="none"/>
                    <w:bottom w:val="none"/>
                    <w:right w:val="none"/>
                  </w:tcBorders>
                  <w:shd w:fill="0E8C84" w:color="auto" w:val="clear"/>
                  <w:tcMar>
                    <w:top w:type="dxa" w:w="120"/>
                    <w:left w:type="dxa" w:w="200"/>
                    <w:bottom w:type="dxa" w:w="120"/>
                    <w:right w:type="dxa" w:w="60"/>
                  </w:tcMar>
                  <w:vAlign w:val="center"/>
                </w:tcPr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18"/>
                      <w:szCs w:val="18"/>
                    </w:rPr>
                    <w:t xml:space="preserve">Retention</w:t>
                  </w:r>
                </w:p>
              </w:tc>
              <w:tc>
                <w:tcPr>
                  <w:tcW w:type="dxa" w:w="1875"/>
                  <w:tcBorders>
                    <w:top w:val="none"/>
                    <w:left w:val="none"/>
                    <w:bottom w:val="none"/>
                    <w:right w:val="none"/>
                  </w:tcBorders>
                  <w:shd w:fill="0E8C84" w:color="auto" w:val="clear"/>
                  <w:tcMar>
                    <w:top w:type="dxa" w:w="120"/>
                    <w:left w:type="dxa" w:w="60"/>
                    <w:bottom w:type="dxa" w:w="120"/>
                    <w:right w:type="dxa" w:w="200"/>
                  </w:tcMar>
                  <w:vAlign w:val="center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7"/>
                      <w:szCs w:val="17"/>
                    </w:rPr>
                    <w:t xml:space="preserve">+38% LTV</w:t>
                  </w:r>
                </w:p>
              </w:tc>
            </w:tr>
          </w:tbl>
          <w:p/>
        </w:tc>
      </w:tr>
    </w:tbl>
    <w:p>
      <w:pPr>
        <w:spacing w:after="190"/>
      </w:pPr>
    </w:p>
    <w:p>
      <w:pPr>
        <w:pBdr>
          <w:bottom w:val="single" w:color="0E8C84" w:sz="16"/>
        </w:pBdr>
        <w:spacing w:after="120" w:before="0"/>
      </w:pPr>
      <w:r>
        <w:rPr>
          <w:rFonts w:ascii="Trebuchet MS" w:cs="Trebuchet MS" w:eastAsia="Trebuchet MS" w:hAnsi="Trebuchet MS"/>
          <w:b/>
          <w:bCs/>
          <w:color w:val="10231F"/>
          <w:sz w:val="25"/>
          <w:szCs w:val="25"/>
        </w:rPr>
        <w:t xml:space="preserve">Experience</w:t>
      </w:r>
    </w:p>
    <w:p>
      <w:pPr>
        <w:spacing w:after="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231F"/>
                <w:sz w:val="20"/>
                <w:szCs w:val="20"/>
              </w:rPr>
              <w:t xml:space="preserve">Growth Marketing Consultant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0A0"/>
                <w:sz w:val="17"/>
                <w:szCs w:val="17"/>
              </w:rPr>
              <w:t xml:space="preserve">2020 — Present</w:t>
            </w:r>
          </w:p>
        </w:tc>
      </w:tr>
    </w:tbl>
    <w:p>
      <w:pPr>
        <w:spacing w:after="48" w:before="30"/>
      </w:pPr>
      <w:r>
        <w:rPr>
          <w:rFonts w:ascii="Calibri" w:cs="Calibri" w:eastAsia="Calibri" w:hAnsi="Calibri"/>
          <w:b/>
          <w:bCs/>
          <w:color w:val="0E8C84"/>
          <w:sz w:val="18"/>
          <w:szCs w:val="18"/>
        </w:rPr>
        <w:t xml:space="preserve">Independent / Agency Partner — Los Angeles, CA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40303A"/>
          <w:sz w:val="19"/>
          <w:szCs w:val="19"/>
        </w:rPr>
        <w:t xml:space="preserve">Build full-funnel growth programs for DTC and SaaS clients; one scaled from $2M to $9M ARR in 18 months.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40303A"/>
          <w:sz w:val="19"/>
          <w:szCs w:val="19"/>
        </w:rPr>
        <w:t xml:space="preserve">Cut blended CAC 34% while tripling qualified pipeline through paid, SEO, and lifecycle.</w:t>
      </w:r>
    </w:p>
    <w:p>
      <w:pPr>
        <w:spacing w:after="17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231F"/>
                <w:sz w:val="20"/>
                <w:szCs w:val="20"/>
              </w:rPr>
              <w:t xml:space="preserve">Head of Growth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0A0"/>
                <w:sz w:val="17"/>
                <w:szCs w:val="17"/>
              </w:rPr>
              <w:t xml:space="preserve">2017 — 2020</w:t>
            </w:r>
          </w:p>
        </w:tc>
      </w:tr>
    </w:tbl>
    <w:p>
      <w:pPr>
        <w:spacing w:after="48" w:before="30"/>
      </w:pPr>
      <w:r>
        <w:rPr>
          <w:rFonts w:ascii="Calibri" w:cs="Calibri" w:eastAsia="Calibri" w:hAnsi="Calibri"/>
          <w:b/>
          <w:bCs/>
          <w:color w:val="0E8C84"/>
          <w:sz w:val="18"/>
          <w:szCs w:val="18"/>
        </w:rPr>
        <w:t xml:space="preserve">Honey — Los Angeles, CA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40303A"/>
          <w:sz w:val="19"/>
          <w:szCs w:val="19"/>
        </w:rPr>
        <w:t xml:space="preserve">Owned acquisition and lifecycle marketing across paid, content, and email.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40303A"/>
          <w:sz w:val="19"/>
          <w:szCs w:val="19"/>
        </w:rPr>
        <w:t xml:space="preserve">Built the experimentation engine driving double-digit monthly growth.</w:t>
      </w:r>
    </w:p>
    <w:p>
      <w:pPr>
        <w:spacing w:after="17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231F"/>
                <w:sz w:val="20"/>
                <w:szCs w:val="20"/>
              </w:rPr>
              <w:t xml:space="preserve">Digital Marketing Manager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0A0"/>
                <w:sz w:val="17"/>
                <w:szCs w:val="17"/>
              </w:rPr>
              <w:t xml:space="preserve">2015 — 2017</w:t>
            </w:r>
          </w:p>
        </w:tc>
      </w:tr>
    </w:tbl>
    <w:p>
      <w:pPr>
        <w:spacing w:after="48" w:before="30"/>
      </w:pPr>
      <w:r>
        <w:rPr>
          <w:rFonts w:ascii="Calibri" w:cs="Calibri" w:eastAsia="Calibri" w:hAnsi="Calibri"/>
          <w:b/>
          <w:bCs/>
          <w:color w:val="0E8C84"/>
          <w:sz w:val="18"/>
          <w:szCs w:val="18"/>
        </w:rPr>
        <w:t xml:space="preserve">Dollar Shave Club — Los Angeles, CA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40303A"/>
          <w:sz w:val="19"/>
          <w:szCs w:val="19"/>
        </w:rPr>
        <w:t xml:space="preserve">Managed paid social and search; scaled profitable acquisition channels.</w:t>
      </w:r>
    </w:p>
    <w:p>
      <w:pPr>
        <w:spacing w:after="0"/>
      </w:pPr>
    </w:p>
    <w:p>
      <w:pPr>
        <w:spacing w:after="20"/>
      </w:pPr>
    </w:p>
    <w:tbl>
      <w:tblPr>
        <w:tblW w:type="dxa" w:w="10840"/>
        <w:tblBorders>
          <w:top w:val="single" w:color="F2E2EB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84"/>
        <w:gridCol w:w="440"/>
        <w:gridCol w:w="4316"/>
      </w:tblGrid>
      <w:tr>
        <w:tc>
          <w:tcPr>
            <w:tcW w:type="dxa" w:w="6084"/>
            <w:tcBorders>
              <w:top w:val="none"/>
              <w:left w:val="none"/>
              <w:bottom w:val="none"/>
              <w:right w:val="single" w:color="F2E2EB" w:sz="8"/>
            </w:tcBorders>
            <w:tcMar>
              <w:top w:type="dxa" w:w="16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0E8C84"/>
                <w:spacing w:val="8"/>
                <w:sz w:val="15"/>
                <w:szCs w:val="15"/>
              </w:rPr>
              <w:t xml:space="preserve">GROWTH TOOLKIT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4405A"/>
                <w:sz w:val="18"/>
                <w:szCs w:val="18"/>
              </w:rPr>
              <w:t xml:space="preserve">Paid (Meta/Google) · SEO/Content · Lifecycle · CRO · GA4 · HubSpot · A/B Testing · Attribution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16"/>
            <w:tcBorders>
              <w:top w:val="none"/>
              <w:left w:val="none"/>
              <w:bottom w:val="none"/>
              <w:right w:val="none"/>
            </w:tcBorders>
            <w:tcMar>
              <w:top w:type="dxa" w:w="16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0E8C84"/>
                <w:spacing w:val="8"/>
                <w:sz w:val="15"/>
                <w:szCs w:val="15"/>
              </w:rPr>
              <w:t xml:space="preserve">EDUCATION</w:t>
            </w:r>
          </w:p>
          <w:p>
            <w:pPr>
              <w:spacing w:before="0"/>
            </w:pPr>
            <w:r>
              <w:rPr>
                <w:rFonts w:ascii="Calibri" w:cs="Calibri" w:eastAsia="Calibri" w:hAnsi="Calibri"/>
                <w:b/>
                <w:bCs/>
                <w:color w:val="10231F"/>
                <w:sz w:val="18"/>
                <w:szCs w:val="18"/>
              </w:rPr>
              <w:t xml:space="preserve">B.A., Marketing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8A8472"/>
                <w:sz w:val="17"/>
                <w:szCs w:val="17"/>
              </w:rPr>
              <w:t xml:space="preserve">University of Southern California</w:t>
            </w:r>
          </w:p>
        </w:tc>
      </w:tr>
    </w:tbl>
    <w:sectPr>
      <w:pgSz w:w="12240" w:h="15840" w:orient="portrait"/>
      <w:pgMar w:top="680" w:right="700" w:bottom="62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0303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4g9faflhya4rfe6qkgp8o" Type="http://schemas.openxmlformats.org/officeDocument/2006/relationships/hyperlink" Target="mailto:tyle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2026-06-20T21:14:16.925Z</dcterms:created>
  <dcterms:modified xsi:type="dcterms:W3CDTF">2026-06-20T21:14:16.925Z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