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7C3AED" w:sz="22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E1133"/>
                <w:sz w:val="57"/>
                <w:szCs w:val="57"/>
              </w:rPr>
              <w:t xml:space="preserve">Tyler Brooks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7C3AED"/>
                <w:spacing w:val="8"/>
                <w:sz w:val="15"/>
                <w:szCs w:val="15"/>
              </w:rPr>
              <w:t xml:space="preserve">MARKETING &amp; GROWTH CONSULTANT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br/>
              <w:t xml:space="preserve">(310)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rsqyscddckplzcyuupa0">
              <w:r>
                <w:rPr>
                  <w:rFonts w:ascii="Calibri" w:cs="Calibri" w:eastAsia="Calibri" w:hAnsi="Calibri"/>
                  <w:color w:val="7A6470"/>
                  <w:sz w:val="17"/>
                  <w:szCs w:val="17"/>
                </w:rPr>
                <w:t xml:space="preserve">tyler@email.com</w:t>
              </w:r>
            </w:hyperlink>
            <w:r>
              <w:rPr>
                <w:rFonts w:ascii="Calibri" w:cs="Calibri" w:eastAsia="Calibri" w:hAnsi="Calibri"/>
                <w:color w:val="7A6470"/>
                <w:sz w:val="17"/>
                <w:szCs w:val="17"/>
              </w:rPr>
              <w:br/>
              <w:t xml:space="preserve">in/tylerbrooks</w:t>
            </w:r>
          </w:p>
        </w:tc>
      </w:tr>
    </w:tbl>
    <w:p>
      <w:pPr>
        <w:spacing w:after="190" w:before="200"/>
      </w:pPr>
      <w:r>
        <w:rPr>
          <w:rFonts w:ascii="Calibri" w:cs="Calibri" w:eastAsia="Calibri" w:hAnsi="Calibri"/>
          <w:color w:val="40303A"/>
          <w:sz w:val="20"/>
          <w:szCs w:val="20"/>
        </w:rPr>
        <w:t xml:space="preserve">Growth consultant who builds demand engines that actually convert. Nine years helping brands and startups turn marketing spend into pipeline and revenue — across the full funnel, from awareness to retention. Data-driven, channel-agnostic, and obsessed with what moves the number.</w:t>
      </w:r>
    </w:p>
    <w:tbl>
      <w:tblPr>
        <w:tblW w:type="dxa" w:w="10840"/>
        <w:tblBorders>
          <w:top w:val="single" w:color="E2D5FB" w:sz="4"/>
          <w:left w:val="single" w:color="E2D5FB" w:sz="4"/>
          <w:bottom w:val="single" w:color="E2D5FB" w:sz="4"/>
          <w:right w:val="single" w:color="E2D5FB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5F0FE" w:color="auto" w:val="clear"/>
            <w:tcMar>
              <w:top w:type="dxa" w:w="220"/>
              <w:left w:type="dxa" w:w="300"/>
              <w:bottom w:type="dxa" w:w="220"/>
              <w:right w:type="dxa" w:w="300"/>
            </w:tcMar>
          </w:tcPr>
          <w:p>
            <w:pPr>
              <w:spacing w:after="14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C52EF"/>
                <w:spacing w:val="8"/>
                <w:sz w:val="15"/>
                <w:szCs w:val="15"/>
              </w:rPr>
              <w:t xml:space="preserve">THE FUNNEL I BUILD &amp; OPTIMIZE</w:t>
            </w:r>
          </w:p>
          <w:tbl>
            <w:tblPr>
              <w:tblW w:type="dxa" w:w="1028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373"/>
              <w:gridCol w:w="3907"/>
            </w:tblGrid>
            <w:tr>
              <w:tc>
                <w:tcPr>
                  <w:tcW w:type="dxa" w:w="6373"/>
                  <w:tcBorders>
                    <w:top w:val="none"/>
                    <w:left w:val="none"/>
                    <w:bottom w:val="none"/>
                    <w:right w:val="none"/>
                  </w:tcBorders>
                  <w:shd w:fill="BE9DF6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1E1133"/>
                      <w:sz w:val="18"/>
                      <w:szCs w:val="18"/>
                    </w:rPr>
                    <w:t xml:space="preserve">Awareness</w:t>
                  </w:r>
                </w:p>
              </w:tc>
              <w:tc>
                <w:tcPr>
                  <w:tcW w:type="dxa" w:w="3907"/>
                  <w:tcBorders>
                    <w:top w:val="none"/>
                    <w:left w:val="none"/>
                    <w:bottom w:val="none"/>
                    <w:right w:val="none"/>
                  </w:tcBorders>
                  <w:shd w:fill="BE9DF6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133"/>
                      <w:sz w:val="17"/>
                      <w:szCs w:val="17"/>
                    </w:rPr>
                    <w:t xml:space="preserve">2.4M reach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B089F4"/>
                <w:sz w:val="15"/>
                <w:szCs w:val="15"/>
              </w:rPr>
              <w:t xml:space="preserve">▼</w:t>
            </w:r>
          </w:p>
          <w:tbl>
            <w:tblPr>
              <w:tblW w:type="dxa" w:w="8635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53"/>
              <w:gridCol w:w="3282"/>
            </w:tblGrid>
            <w:tr>
              <w:tc>
                <w:tcPr>
                  <w:tcW w:type="dxa" w:w="5353"/>
                  <w:tcBorders>
                    <w:top w:val="none"/>
                    <w:left w:val="none"/>
                    <w:bottom w:val="none"/>
                    <w:right w:val="none"/>
                  </w:tcBorders>
                  <w:shd w:fill="A375F2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Consideration</w:t>
                  </w:r>
                </w:p>
              </w:tc>
              <w:tc>
                <w:tcPr>
                  <w:tcW w:type="dxa" w:w="3282"/>
                  <w:tcBorders>
                    <w:top w:val="none"/>
                    <w:left w:val="none"/>
                    <w:bottom w:val="none"/>
                    <w:right w:val="none"/>
                  </w:tcBorders>
                  <w:shd w:fill="A375F2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310K visits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B089F4"/>
                <w:sz w:val="15"/>
                <w:szCs w:val="15"/>
              </w:rPr>
              <w:t xml:space="preserve">▼</w:t>
            </w:r>
          </w:p>
          <w:tbl>
            <w:tblPr>
              <w:tblW w:type="dxa" w:w="6785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6"/>
              <w:gridCol w:w="2579"/>
            </w:tblGrid>
            <w:tr>
              <w:tc>
                <w:tcPr>
                  <w:tcW w:type="dxa" w:w="4206"/>
                  <w:tcBorders>
                    <w:top w:val="none"/>
                    <w:left w:val="none"/>
                    <w:bottom w:val="none"/>
                    <w:right w:val="none"/>
                  </w:tcBorders>
                  <w:shd w:fill="8C52EF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Conversion</w:t>
                  </w:r>
                </w:p>
              </w:tc>
              <w:tc>
                <w:tcPr>
                  <w:tcW w:type="dxa" w:w="2579"/>
                  <w:tcBorders>
                    <w:top w:val="none"/>
                    <w:left w:val="none"/>
                    <w:bottom w:val="none"/>
                    <w:right w:val="none"/>
                  </w:tcBorders>
                  <w:shd w:fill="8C52EF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24K leads</w:t>
                  </w:r>
                </w:p>
              </w:tc>
            </w:tr>
          </w:tbl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color w:val="B089F4"/>
                <w:sz w:val="15"/>
                <w:szCs w:val="15"/>
              </w:rPr>
              <w:t xml:space="preserve">▼</w:t>
            </w:r>
          </w:p>
          <w:tbl>
            <w:tblPr>
              <w:tblW w:type="dxa" w:w="4934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059"/>
              <w:gridCol w:w="1875"/>
            </w:tblGrid>
            <w:tr>
              <w:tc>
                <w:tcPr>
                  <w:tcW w:type="dxa" w:w="3059"/>
                  <w:tcBorders>
                    <w:top w:val="none"/>
                    <w:left w:val="none"/>
                    <w:bottom w:val="none"/>
                    <w:right w:val="none"/>
                  </w:tcBorders>
                  <w:shd w:fill="7C3AED" w:color="auto" w:val="clear"/>
                  <w:tcMar>
                    <w:top w:type="dxa" w:w="120"/>
                    <w:left w:type="dxa" w:w="200"/>
                    <w:bottom w:type="dxa" w:w="120"/>
                    <w:right w:type="dxa" w:w="6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8"/>
                      <w:szCs w:val="18"/>
                    </w:rPr>
                    <w:t xml:space="preserve">Retention</w:t>
                  </w:r>
                </w:p>
              </w:tc>
              <w:tc>
                <w:tcPr>
                  <w:tcW w:type="dxa" w:w="1875"/>
                  <w:tcBorders>
                    <w:top w:val="none"/>
                    <w:left w:val="none"/>
                    <w:bottom w:val="none"/>
                    <w:right w:val="none"/>
                  </w:tcBorders>
                  <w:shd w:fill="7C3AED" w:color="auto" w:val="clear"/>
                  <w:tcMar>
                    <w:top w:type="dxa" w:w="120"/>
                    <w:left w:type="dxa" w:w="60"/>
                    <w:bottom w:type="dxa" w:w="120"/>
                    <w:right w:type="dxa" w:w="2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+38% LTV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7C3AED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E1133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1133"/>
                <w:sz w:val="20"/>
                <w:szCs w:val="20"/>
              </w:rPr>
              <w:t xml:space="preserve">Growth Marketing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Independent / Agency Partner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Build full-funnel growth programs for DTC and SaaS clients; one scaled from $2M to $9M ARR in 18 months.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Cut blended CAC 34% while tripling qualified pipeline through paid, SEO, and lifecycle.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1133"/>
                <w:sz w:val="20"/>
                <w:szCs w:val="20"/>
              </w:rPr>
              <w:t xml:space="preserve">Head of Growth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Honey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Owned acquisition and lifecycle marketing across paid, content, and email.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Built the experimentation engine driving double-digit monthly growth.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1133"/>
                <w:sz w:val="20"/>
                <w:szCs w:val="20"/>
              </w:rPr>
              <w:t xml:space="preserve">Digital Marketing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0A0"/>
                <w:sz w:val="17"/>
                <w:szCs w:val="17"/>
              </w:rPr>
              <w:t xml:space="preserve">2015 — 2017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Dollar Shave Club — Los Angeles, CA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40303A"/>
          <w:sz w:val="19"/>
          <w:szCs w:val="19"/>
        </w:rPr>
        <w:t xml:space="preserve">Managed paid social and search; scaled profitable acquisition channels.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F2E2EB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F2E2EB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7C3AED"/>
                <w:spacing w:val="8"/>
                <w:sz w:val="15"/>
                <w:szCs w:val="15"/>
              </w:rPr>
              <w:t xml:space="preserve">GROWTH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Paid (Meta/Google) · SEO/Content · Lifecycle · CRO · GA4 · HubSpot · A/B Testing · Attribution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7C3AED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E1133"/>
                <w:sz w:val="18"/>
                <w:szCs w:val="18"/>
              </w:rPr>
              <w:t xml:space="preserve">B.A., Marketing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University of Southern California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0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rsqyscddckplzcyuupa0" Type="http://schemas.openxmlformats.org/officeDocument/2006/relationships/hyperlink" Target="mailto:tyl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2026-06-20T21:14:16.920Z</dcterms:created>
  <dcterms:modified xsi:type="dcterms:W3CDTF">2026-06-20T21:14:16.920Z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